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A63E" w14:textId="77777777" w:rsidR="00E44174" w:rsidRDefault="00E44174">
      <w:pPr>
        <w:pStyle w:val="Textoindependiente"/>
        <w:rPr>
          <w:rFonts w:ascii="Times New Roman"/>
          <w:sz w:val="28"/>
        </w:rPr>
      </w:pPr>
    </w:p>
    <w:p w14:paraId="302989BE" w14:textId="77777777" w:rsidR="00E44174" w:rsidRDefault="00E44174">
      <w:pPr>
        <w:pStyle w:val="Textoindependiente"/>
        <w:rPr>
          <w:rFonts w:ascii="Times New Roman"/>
          <w:sz w:val="28"/>
        </w:rPr>
      </w:pPr>
    </w:p>
    <w:p w14:paraId="4496031B" w14:textId="77777777" w:rsidR="00E44174" w:rsidRDefault="00E44174">
      <w:pPr>
        <w:pStyle w:val="Textoindependiente"/>
        <w:rPr>
          <w:rFonts w:ascii="Times New Roman"/>
          <w:sz w:val="28"/>
        </w:rPr>
      </w:pPr>
    </w:p>
    <w:p w14:paraId="4A020EC8" w14:textId="77777777" w:rsidR="00E44174" w:rsidRDefault="00E44174">
      <w:pPr>
        <w:pStyle w:val="Textoindependiente"/>
        <w:rPr>
          <w:rFonts w:ascii="Times New Roman"/>
          <w:sz w:val="28"/>
        </w:rPr>
      </w:pPr>
    </w:p>
    <w:p w14:paraId="4BFDDEAE" w14:textId="77777777" w:rsidR="00E44174" w:rsidRDefault="00E44174">
      <w:pPr>
        <w:pStyle w:val="Textoindependiente"/>
        <w:rPr>
          <w:rFonts w:ascii="Times New Roman"/>
          <w:sz w:val="28"/>
        </w:rPr>
      </w:pPr>
    </w:p>
    <w:p w14:paraId="655492C0" w14:textId="77777777" w:rsidR="00E44174" w:rsidRDefault="00E44174">
      <w:pPr>
        <w:pStyle w:val="Textoindependiente"/>
        <w:spacing w:before="60"/>
        <w:rPr>
          <w:rFonts w:ascii="Times New Roman"/>
          <w:sz w:val="28"/>
        </w:rPr>
      </w:pPr>
    </w:p>
    <w:p w14:paraId="788EABE9" w14:textId="77777777" w:rsidR="00E44174" w:rsidRDefault="00000000">
      <w:pPr>
        <w:ind w:left="212"/>
        <w:rPr>
          <w:b/>
          <w:sz w:val="28"/>
        </w:rPr>
      </w:pPr>
      <w:r>
        <w:rPr>
          <w:b/>
          <w:sz w:val="28"/>
        </w:rPr>
        <w:t>CONSEJO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SOCIAL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UNIVERSIDAD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PALMAS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GRAN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CANARIA</w:t>
      </w:r>
    </w:p>
    <w:p w14:paraId="1465F385" w14:textId="71F57D57" w:rsidR="00E44174" w:rsidRDefault="00000000">
      <w:pPr>
        <w:tabs>
          <w:tab w:val="left" w:pos="3305"/>
          <w:tab w:val="left" w:pos="6317"/>
        </w:tabs>
        <w:spacing w:before="182"/>
        <w:ind w:left="2945"/>
        <w:rPr>
          <w:b/>
          <w:sz w:val="28"/>
        </w:rPr>
      </w:pP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b/>
          <w:sz w:val="28"/>
        </w:rPr>
        <w:t>EJERCICIO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134866">
        <w:rPr>
          <w:b/>
          <w:spacing w:val="-4"/>
          <w:sz w:val="28"/>
        </w:rPr>
        <w:t xml:space="preserve">4    </w:t>
      </w:r>
      <w:r>
        <w:rPr>
          <w:b/>
          <w:spacing w:val="-10"/>
          <w:sz w:val="28"/>
        </w:rPr>
        <w:t>-</w:t>
      </w:r>
    </w:p>
    <w:p w14:paraId="263C021F" w14:textId="77777777" w:rsidR="00E44174" w:rsidRDefault="00E44174">
      <w:pPr>
        <w:pStyle w:val="Textoindependiente"/>
        <w:spacing w:before="288"/>
        <w:rPr>
          <w:b/>
          <w:sz w:val="28"/>
        </w:rPr>
      </w:pPr>
    </w:p>
    <w:p w14:paraId="672A19B4" w14:textId="77777777" w:rsidR="00E44174" w:rsidRDefault="00000000">
      <w:pPr>
        <w:spacing w:line="256" w:lineRule="auto"/>
        <w:ind w:left="101"/>
        <w:rPr>
          <w:b/>
          <w:sz w:val="28"/>
        </w:rPr>
      </w:pPr>
      <w:r>
        <w:rPr>
          <w:b/>
          <w:sz w:val="28"/>
        </w:rPr>
        <w:t>Información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sobre la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indemnización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por asistencia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a reuniones del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Pleno, Comisiones y Grupos de Trabajo del Consejo Social de la ULPGC</w:t>
      </w:r>
    </w:p>
    <w:p w14:paraId="5529024E" w14:textId="77777777" w:rsidR="00E44174" w:rsidRDefault="00000000">
      <w:pPr>
        <w:pStyle w:val="Textoindependiente"/>
        <w:spacing w:before="154" w:line="256" w:lineRule="auto"/>
        <w:ind w:left="101" w:right="111"/>
        <w:jc w:val="both"/>
      </w:pP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7.3.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hyperlink r:id="rId5">
        <w:r>
          <w:rPr>
            <w:color w:val="0562C1"/>
            <w:u w:val="single" w:color="0562C1"/>
          </w:rPr>
          <w:t>Ley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11/2003</w:t>
        </w:r>
        <w:r>
          <w:t>,</w:t>
        </w:r>
      </w:hyperlink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abril,</w:t>
      </w:r>
      <w:r>
        <w:rPr>
          <w:spacing w:val="-2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Consejos</w:t>
      </w:r>
      <w:r>
        <w:rPr>
          <w:spacing w:val="-4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Sistema Universitario de Canarias permite que los </w:t>
      </w:r>
      <w:hyperlink r:id="rId6">
        <w:r>
          <w:rPr>
            <w:color w:val="0562C1"/>
            <w:u w:val="single" w:color="0562C1"/>
          </w:rPr>
          <w:t>miembros</w:t>
        </w:r>
      </w:hyperlink>
      <w:r>
        <w:rPr>
          <w:color w:val="0562C1"/>
        </w:rPr>
        <w:t xml:space="preserve"> </w:t>
      </w:r>
      <w:r>
        <w:t xml:space="preserve">del </w:t>
      </w:r>
      <w:hyperlink r:id="rId7">
        <w:r>
          <w:rPr>
            <w:color w:val="944F71"/>
            <w:u w:val="single" w:color="944F71"/>
          </w:rPr>
          <w:t>Consejo Social de la ULPGC</w:t>
        </w:r>
      </w:hyperlink>
      <w:r>
        <w:rPr>
          <w:color w:val="944F71"/>
        </w:rPr>
        <w:t xml:space="preserve"> </w:t>
      </w:r>
      <w:r>
        <w:t>perciban indemnizaciones</w:t>
      </w:r>
      <w:r>
        <w:rPr>
          <w:spacing w:val="-1"/>
        </w:rPr>
        <w:t xml:space="preserve"> </w:t>
      </w:r>
      <w:r>
        <w:t>dentro de los límites</w:t>
      </w:r>
      <w:r>
        <w:rPr>
          <w:spacing w:val="-1"/>
        </w:rPr>
        <w:t xml:space="preserve"> </w:t>
      </w:r>
      <w:r>
        <w:t>y en la forma</w:t>
      </w:r>
      <w:r>
        <w:rPr>
          <w:spacing w:val="-1"/>
        </w:rPr>
        <w:t xml:space="preserve"> </w:t>
      </w:r>
      <w:r>
        <w:t>establecida por 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 la Comunidad Autónoma de Canarias.</w:t>
      </w:r>
    </w:p>
    <w:p w14:paraId="214A441A" w14:textId="77777777" w:rsidR="00E44174" w:rsidRDefault="00000000">
      <w:pPr>
        <w:pStyle w:val="Textoindependiente"/>
        <w:spacing w:before="159" w:line="256" w:lineRule="auto"/>
        <w:ind w:left="101" w:right="109"/>
        <w:jc w:val="both"/>
      </w:pPr>
      <w:r>
        <w:t>Mediante acuerdo adoptado por el pleno del Consejo Social de la ULPGC, las cuantías de las indemnizaciones a percibir por</w:t>
      </w:r>
      <w:r>
        <w:rPr>
          <w:spacing w:val="-2"/>
        </w:rPr>
        <w:t xml:space="preserve"> </w:t>
      </w:r>
      <w:r>
        <w:t>todos los concurrentes a las reuniones del Consejo Social (Plenos, Comisiones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Trabajo)</w:t>
      </w:r>
      <w:r>
        <w:rPr>
          <w:spacing w:val="-8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equivalentes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dispuestas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hyperlink r:id="rId8">
        <w:r>
          <w:rPr>
            <w:color w:val="944F71"/>
            <w:u w:val="single" w:color="944F71"/>
          </w:rPr>
          <w:t>Dec</w:t>
        </w:r>
        <w:r>
          <w:rPr>
            <w:color w:val="944F71"/>
            <w:u w:val="single" w:color="944F71"/>
          </w:rPr>
          <w:t>reto</w:t>
        </w:r>
        <w:r>
          <w:rPr>
            <w:color w:val="944F71"/>
            <w:spacing w:val="-7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251/1997</w:t>
        </w:r>
        <w:r>
          <w:t>,</w:t>
        </w:r>
      </w:hyperlink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30 de septiembre, por el que se aprueba el Reglamento de Indemnizaciones por razón del servicio modificado por decreto 67/2002, de 20 de mayo, y la </w:t>
      </w:r>
      <w:r>
        <w:rPr>
          <w:color w:val="0562C1"/>
          <w:u w:val="single" w:color="0562C1"/>
        </w:rPr>
        <w:t>Orden de 11 de febrero de 2008</w:t>
      </w:r>
      <w:r>
        <w:rPr>
          <w:color w:val="0562C1"/>
        </w:rPr>
        <w:t xml:space="preserve"> </w:t>
      </w:r>
      <w:r>
        <w:t>de la Consejería de Economía y Hacienda (BOC núm. 39 de 22 de febrero de 2008).</w:t>
      </w:r>
    </w:p>
    <w:p w14:paraId="39236426" w14:textId="77777777" w:rsidR="00E44174" w:rsidRDefault="00000000">
      <w:pPr>
        <w:spacing w:before="152" w:line="256" w:lineRule="auto"/>
        <w:ind w:left="101" w:right="108"/>
        <w:jc w:val="both"/>
        <w:rPr>
          <w:b/>
        </w:rPr>
      </w:pPr>
      <w:r>
        <w:t>Por</w:t>
      </w:r>
      <w:r>
        <w:rPr>
          <w:spacing w:val="-13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motivo,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establecer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paralelismo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clasificación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órganos</w:t>
      </w:r>
      <w:r>
        <w:rPr>
          <w:spacing w:val="-12"/>
        </w:rPr>
        <w:t xml:space="preserve"> </w:t>
      </w:r>
      <w:r>
        <w:t xml:space="preserve">colegiados contemplada en el Capítulo IV del Decreto mencionado anteriormente, </w:t>
      </w:r>
      <w:r>
        <w:rPr>
          <w:b/>
        </w:rPr>
        <w:t>el Consejo Social ha establecido que las cuantías a percibir en concepto</w:t>
      </w:r>
      <w:r>
        <w:rPr>
          <w:b/>
          <w:spacing w:val="-3"/>
        </w:rPr>
        <w:t xml:space="preserve"> </w:t>
      </w:r>
      <w:r>
        <w:rPr>
          <w:b/>
        </w:rPr>
        <w:t>de indemnización por asistencia a reuniones del Pleno, Comisiones y Grupos de Trabajo atenderán a los siguientes criterios:</w:t>
      </w:r>
    </w:p>
    <w:p w14:paraId="1DC5E351" w14:textId="71D66E89" w:rsidR="00E44174" w:rsidRDefault="00000000">
      <w:pPr>
        <w:pStyle w:val="Prrafodelista"/>
        <w:numPr>
          <w:ilvl w:val="0"/>
          <w:numId w:val="1"/>
        </w:numPr>
        <w:tabs>
          <w:tab w:val="left" w:pos="330"/>
        </w:tabs>
        <w:spacing w:before="159" w:line="254" w:lineRule="auto"/>
        <w:ind w:right="110" w:firstLine="0"/>
        <w:jc w:val="both"/>
      </w:pPr>
      <w:r>
        <w:t xml:space="preserve">Las </w:t>
      </w:r>
      <w:r>
        <w:rPr>
          <w:b/>
        </w:rPr>
        <w:t xml:space="preserve">reuniones del Pleno y de la Comisión Permanente </w:t>
      </w:r>
      <w:r>
        <w:t>del Consejo Social de la Universidad de Las Palmas de Gran Canaria se ajustarán a la categoría primera en atención, entre otros aspectos, a su composición y al carácter decisorio de los mismos (</w:t>
      </w:r>
      <w:r>
        <w:rPr>
          <w:b/>
        </w:rPr>
        <w:t>91,14</w:t>
      </w:r>
      <w:r w:rsidR="00134866">
        <w:rPr>
          <w:b/>
        </w:rPr>
        <w:t xml:space="preserve"> </w:t>
      </w:r>
      <w:r>
        <w:rPr>
          <w:b/>
        </w:rPr>
        <w:t>€ brutos</w:t>
      </w:r>
      <w:r>
        <w:t>).</w:t>
      </w:r>
    </w:p>
    <w:p w14:paraId="4BAE6847" w14:textId="4DE1897F" w:rsidR="00E44174" w:rsidRDefault="00000000">
      <w:pPr>
        <w:pStyle w:val="Prrafodelista"/>
        <w:numPr>
          <w:ilvl w:val="0"/>
          <w:numId w:val="1"/>
        </w:numPr>
        <w:tabs>
          <w:tab w:val="left" w:pos="322"/>
        </w:tabs>
        <w:spacing w:before="163" w:line="256" w:lineRule="auto"/>
        <w:ind w:firstLine="0"/>
        <w:jc w:val="both"/>
      </w:pPr>
      <w:r>
        <w:t xml:space="preserve">Las </w:t>
      </w:r>
      <w:r>
        <w:rPr>
          <w:b/>
        </w:rPr>
        <w:t xml:space="preserve">reuniones de Comisiones informativas y de grupos de trabajo </w:t>
      </w:r>
      <w:r>
        <w:t xml:space="preserve">del mismo Consejo Social se ajustará a la categoría segunda en atención a su carácter informativo e interno del Pleno </w:t>
      </w:r>
      <w:r>
        <w:rPr>
          <w:b/>
        </w:rPr>
        <w:t>(79,38</w:t>
      </w:r>
      <w:r w:rsidR="00134866">
        <w:rPr>
          <w:b/>
        </w:rPr>
        <w:t xml:space="preserve"> </w:t>
      </w:r>
      <w:r>
        <w:rPr>
          <w:b/>
        </w:rPr>
        <w:t xml:space="preserve">€ </w:t>
      </w:r>
      <w:r>
        <w:rPr>
          <w:b/>
          <w:spacing w:val="-2"/>
        </w:rPr>
        <w:t>brutos</w:t>
      </w:r>
      <w:r>
        <w:rPr>
          <w:spacing w:val="-2"/>
        </w:rPr>
        <w:t>).</w:t>
      </w:r>
    </w:p>
    <w:p w14:paraId="7CE33B10" w14:textId="77777777" w:rsidR="00E44174" w:rsidRDefault="00000000">
      <w:pPr>
        <w:pStyle w:val="Prrafodelista"/>
        <w:numPr>
          <w:ilvl w:val="0"/>
          <w:numId w:val="1"/>
        </w:numPr>
        <w:tabs>
          <w:tab w:val="left" w:pos="315"/>
        </w:tabs>
        <w:spacing w:line="254" w:lineRule="auto"/>
        <w:ind w:firstLine="0"/>
        <w:jc w:val="both"/>
        <w:rPr>
          <w:b/>
        </w:rPr>
      </w:pPr>
      <w:r>
        <w:t>La</w:t>
      </w:r>
      <w:r>
        <w:rPr>
          <w:spacing w:val="-3"/>
        </w:rPr>
        <w:t xml:space="preserve"> </w:t>
      </w:r>
      <w:r>
        <w:rPr>
          <w:b/>
        </w:rPr>
        <w:t>asistencia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Comisión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Permanencia</w:t>
      </w:r>
      <w:r>
        <w:rPr>
          <w:b/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Palmas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Canaria</w:t>
      </w:r>
      <w:r>
        <w:rPr>
          <w:spacing w:val="-4"/>
        </w:rPr>
        <w:t xml:space="preserve"> </w:t>
      </w:r>
      <w:r>
        <w:rPr>
          <w:b/>
        </w:rPr>
        <w:t>no conllevará la percepción de indemnizaciones.</w:t>
      </w:r>
    </w:p>
    <w:p w14:paraId="345DDBC2" w14:textId="77777777" w:rsidR="00E44174" w:rsidRDefault="00000000">
      <w:pPr>
        <w:spacing w:before="162" w:line="256" w:lineRule="auto"/>
        <w:ind w:left="101" w:right="108"/>
        <w:jc w:val="both"/>
        <w:rPr>
          <w:b/>
        </w:rPr>
      </w:pPr>
      <w:r>
        <w:t>Por</w:t>
      </w:r>
      <w:r>
        <w:rPr>
          <w:spacing w:val="-1"/>
        </w:rPr>
        <w:t xml:space="preserve"> </w:t>
      </w:r>
      <w:r>
        <w:t>otro lado,</w:t>
      </w:r>
      <w:r>
        <w:rPr>
          <w:spacing w:val="-1"/>
        </w:rPr>
        <w:t xml:space="preserve"> </w:t>
      </w:r>
      <w:r>
        <w:t>de acuerdo con el</w:t>
      </w:r>
      <w:r>
        <w:rPr>
          <w:spacing w:val="-1"/>
        </w:rPr>
        <w:t xml:space="preserve"> </w:t>
      </w:r>
      <w:r>
        <w:t>artículo 11.3 de la</w:t>
      </w:r>
      <w:r>
        <w:rPr>
          <w:spacing w:val="-1"/>
        </w:rPr>
        <w:t xml:space="preserve"> </w:t>
      </w:r>
      <w:r>
        <w:t>Ley sobre Consejos</w:t>
      </w:r>
      <w:r>
        <w:rPr>
          <w:spacing w:val="-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 Coordinación</w:t>
      </w:r>
      <w:r>
        <w:rPr>
          <w:spacing w:val="-2"/>
        </w:rPr>
        <w:t xml:space="preserve"> </w:t>
      </w:r>
      <w:r>
        <w:t xml:space="preserve">del Sistema Universitario de Canarias y el artículo 19.6 del Reglamento de Organización y Funcionamiento del Consejo Social, aprobado mediante </w:t>
      </w:r>
      <w:hyperlink r:id="rId9">
        <w:r>
          <w:rPr>
            <w:color w:val="944F71"/>
            <w:u w:val="single" w:color="944F71"/>
          </w:rPr>
          <w:t>Decreto 97/2004</w:t>
        </w:r>
        <w:r>
          <w:t>,</w:t>
        </w:r>
      </w:hyperlink>
      <w:r>
        <w:t xml:space="preserve"> de 20 de julio, del Gobierno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Canarias,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b/>
        </w:rPr>
        <w:t>caso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Presidente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Consejo</w:t>
      </w:r>
      <w:r>
        <w:rPr>
          <w:b/>
          <w:spacing w:val="-13"/>
        </w:rPr>
        <w:t xml:space="preserve"> </w:t>
      </w:r>
      <w:r>
        <w:rPr>
          <w:b/>
        </w:rPr>
        <w:t>Social</w:t>
      </w:r>
      <w:r>
        <w:rPr>
          <w:b/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rPr>
          <w:b/>
        </w:rPr>
        <w:t>una</w:t>
      </w:r>
      <w:r>
        <w:rPr>
          <w:b/>
          <w:spacing w:val="-10"/>
        </w:rPr>
        <w:t xml:space="preserve"> </w:t>
      </w:r>
      <w:r>
        <w:rPr>
          <w:b/>
        </w:rPr>
        <w:t>indemnización por asistencia a reuniones del Pleno, Comisiones y Grupos de Trabajo de acuerdo con los siguientes criterios:</w:t>
      </w:r>
    </w:p>
    <w:p w14:paraId="0FC48090" w14:textId="13DE0F27" w:rsidR="00E44174" w:rsidRDefault="00000000">
      <w:pPr>
        <w:pStyle w:val="Textoindependiente"/>
        <w:spacing w:before="156" w:line="398" w:lineRule="auto"/>
        <w:ind w:left="101" w:right="3691"/>
        <w:jc w:val="both"/>
      </w:pPr>
      <w:r>
        <w:t>Categoría primera, trescientos</w:t>
      </w:r>
      <w:r w:rsidR="00134866">
        <w:t xml:space="preserve"> </w:t>
      </w:r>
      <w:r>
        <w:t>euros (350,00</w:t>
      </w:r>
      <w:r w:rsidR="00134866">
        <w:t xml:space="preserve"> </w:t>
      </w:r>
      <w:r>
        <w:t>€</w:t>
      </w:r>
      <w:r w:rsidR="00134866">
        <w:t xml:space="preserve"> </w:t>
      </w:r>
      <w:r>
        <w:t>brutos). Categoría</w:t>
      </w:r>
      <w:r>
        <w:rPr>
          <w:spacing w:val="-7"/>
        </w:rPr>
        <w:t xml:space="preserve"> </w:t>
      </w:r>
      <w:r>
        <w:t>segunda,</w:t>
      </w:r>
      <w:r>
        <w:rPr>
          <w:spacing w:val="-4"/>
        </w:rPr>
        <w:t xml:space="preserve"> </w:t>
      </w:r>
      <w:r>
        <w:t>ciento</w:t>
      </w:r>
      <w:r>
        <w:rPr>
          <w:spacing w:val="-5"/>
        </w:rPr>
        <w:t xml:space="preserve"> </w:t>
      </w:r>
      <w:r>
        <w:t>sesenta</w:t>
      </w:r>
      <w:r>
        <w:rPr>
          <w:spacing w:val="-7"/>
        </w:rPr>
        <w:t xml:space="preserve"> </w:t>
      </w:r>
      <w:r>
        <w:t>euros</w:t>
      </w:r>
      <w:r>
        <w:rPr>
          <w:spacing w:val="-4"/>
        </w:rPr>
        <w:t xml:space="preserve"> </w:t>
      </w:r>
      <w:r>
        <w:t>(190,00</w:t>
      </w:r>
      <w:r w:rsidR="00134866">
        <w:t xml:space="preserve"> </w:t>
      </w:r>
      <w:r>
        <w:t>€</w:t>
      </w:r>
      <w:r>
        <w:rPr>
          <w:spacing w:val="-5"/>
        </w:rPr>
        <w:t xml:space="preserve"> </w:t>
      </w:r>
      <w:r>
        <w:rPr>
          <w:spacing w:val="-2"/>
        </w:rPr>
        <w:t>brutos).</w:t>
      </w:r>
    </w:p>
    <w:sectPr w:rsidR="00E44174">
      <w:type w:val="continuous"/>
      <w:pgSz w:w="11910" w:h="16840"/>
      <w:pgMar w:top="84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347A7"/>
    <w:multiLevelType w:val="hybridMultilevel"/>
    <w:tmpl w:val="22D0E82A"/>
    <w:lvl w:ilvl="0" w:tplc="548015C0">
      <w:start w:val="1"/>
      <w:numFmt w:val="decimal"/>
      <w:lvlText w:val="%1."/>
      <w:lvlJc w:val="left"/>
      <w:pPr>
        <w:ind w:left="101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6209306">
      <w:numFmt w:val="bullet"/>
      <w:lvlText w:val="•"/>
      <w:lvlJc w:val="left"/>
      <w:pPr>
        <w:ind w:left="990" w:hanging="231"/>
      </w:pPr>
      <w:rPr>
        <w:rFonts w:hint="default"/>
        <w:lang w:val="es-ES" w:eastAsia="en-US" w:bidi="ar-SA"/>
      </w:rPr>
    </w:lvl>
    <w:lvl w:ilvl="2" w:tplc="CD8027FC">
      <w:numFmt w:val="bullet"/>
      <w:lvlText w:val="•"/>
      <w:lvlJc w:val="left"/>
      <w:pPr>
        <w:ind w:left="1881" w:hanging="231"/>
      </w:pPr>
      <w:rPr>
        <w:rFonts w:hint="default"/>
        <w:lang w:val="es-ES" w:eastAsia="en-US" w:bidi="ar-SA"/>
      </w:rPr>
    </w:lvl>
    <w:lvl w:ilvl="3" w:tplc="40320AA6">
      <w:numFmt w:val="bullet"/>
      <w:lvlText w:val="•"/>
      <w:lvlJc w:val="left"/>
      <w:pPr>
        <w:ind w:left="2771" w:hanging="231"/>
      </w:pPr>
      <w:rPr>
        <w:rFonts w:hint="default"/>
        <w:lang w:val="es-ES" w:eastAsia="en-US" w:bidi="ar-SA"/>
      </w:rPr>
    </w:lvl>
    <w:lvl w:ilvl="4" w:tplc="D528F4B6">
      <w:numFmt w:val="bullet"/>
      <w:lvlText w:val="•"/>
      <w:lvlJc w:val="left"/>
      <w:pPr>
        <w:ind w:left="3662" w:hanging="231"/>
      </w:pPr>
      <w:rPr>
        <w:rFonts w:hint="default"/>
        <w:lang w:val="es-ES" w:eastAsia="en-US" w:bidi="ar-SA"/>
      </w:rPr>
    </w:lvl>
    <w:lvl w:ilvl="5" w:tplc="A192FAEE">
      <w:numFmt w:val="bullet"/>
      <w:lvlText w:val="•"/>
      <w:lvlJc w:val="left"/>
      <w:pPr>
        <w:ind w:left="4553" w:hanging="231"/>
      </w:pPr>
      <w:rPr>
        <w:rFonts w:hint="default"/>
        <w:lang w:val="es-ES" w:eastAsia="en-US" w:bidi="ar-SA"/>
      </w:rPr>
    </w:lvl>
    <w:lvl w:ilvl="6" w:tplc="2EF8346A">
      <w:numFmt w:val="bullet"/>
      <w:lvlText w:val="•"/>
      <w:lvlJc w:val="left"/>
      <w:pPr>
        <w:ind w:left="5443" w:hanging="231"/>
      </w:pPr>
      <w:rPr>
        <w:rFonts w:hint="default"/>
        <w:lang w:val="es-ES" w:eastAsia="en-US" w:bidi="ar-SA"/>
      </w:rPr>
    </w:lvl>
    <w:lvl w:ilvl="7" w:tplc="145457EA">
      <w:numFmt w:val="bullet"/>
      <w:lvlText w:val="•"/>
      <w:lvlJc w:val="left"/>
      <w:pPr>
        <w:ind w:left="6334" w:hanging="231"/>
      </w:pPr>
      <w:rPr>
        <w:rFonts w:hint="default"/>
        <w:lang w:val="es-ES" w:eastAsia="en-US" w:bidi="ar-SA"/>
      </w:rPr>
    </w:lvl>
    <w:lvl w:ilvl="8" w:tplc="09681462">
      <w:numFmt w:val="bullet"/>
      <w:lvlText w:val="•"/>
      <w:lvlJc w:val="left"/>
      <w:pPr>
        <w:ind w:left="7225" w:hanging="231"/>
      </w:pPr>
      <w:rPr>
        <w:rFonts w:hint="default"/>
        <w:lang w:val="es-ES" w:eastAsia="en-US" w:bidi="ar-SA"/>
      </w:rPr>
    </w:lvl>
  </w:abstractNum>
  <w:num w:numId="1" w16cid:durableId="32147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174"/>
    <w:rsid w:val="00134866"/>
    <w:rsid w:val="00442122"/>
    <w:rsid w:val="00E4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DA60"/>
  <w15:docId w15:val="{8F542889-A358-4EBF-B9FF-2FFC5F6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58"/>
      <w:ind w:left="101" w:righ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iernodecanarias.org/boc/1997/137/boc-1997-137-0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ocial.ulpgc.es/wp-content/uploads/2015/12/Reglamento-CS-ULPGC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ocial.ulpgc.es/el-consejo/organos-de-gobierno/el-pleno/miembro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e.es/eli/es-cn/l/2003/04/04/11/c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biernodecanarias.org/boc/2004/147/boc-2004-147-0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2548</Characters>
  <Application>Microsoft Office Word</Application>
  <DocSecurity>0</DocSecurity>
  <Lines>74</Lines>
  <Paragraphs>33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Morant De Diego</dc:creator>
  <dc:description/>
  <cp:lastModifiedBy>María Teresa Morant De Diego</cp:lastModifiedBy>
  <cp:revision>2</cp:revision>
  <dcterms:created xsi:type="dcterms:W3CDTF">2025-02-06T16:02:00Z</dcterms:created>
  <dcterms:modified xsi:type="dcterms:W3CDTF">2025-02-06T16:06:00Z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20.5.50</vt:lpwstr>
  </property>
  <property fmtid="{D5CDD505-2E9C-101B-9397-08002B2CF9AE}" pid="6" name="SourceModified">
    <vt:lpwstr>D:20230822113555</vt:lpwstr>
  </property>
</Properties>
</file>