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8F00" w14:textId="48E06267" w:rsidR="00881C1A" w:rsidRDefault="00881C1A" w:rsidP="00C920BF">
      <w:pPr>
        <w:rPr>
          <w:rFonts w:ascii="Lucida Sans" w:eastAsia="Calibri" w:hAnsi="Lucida Sans"/>
          <w:b/>
          <w:bCs/>
          <w:color w:val="222A35" w:themeColor="text2" w:themeShade="80"/>
          <w:sz w:val="32"/>
          <w:szCs w:val="32"/>
        </w:rPr>
      </w:pPr>
    </w:p>
    <w:p w14:paraId="632BF0BE" w14:textId="77777777" w:rsidR="00C920BF" w:rsidRPr="00567E93" w:rsidRDefault="00C920BF" w:rsidP="00C920BF">
      <w:pPr>
        <w:rPr>
          <w:rFonts w:ascii="Lucida Sans" w:eastAsia="Calibri" w:hAnsi="Lucida Sans"/>
          <w:b/>
          <w:bCs/>
          <w:color w:val="222A35" w:themeColor="text2" w:themeShade="80"/>
          <w:sz w:val="32"/>
          <w:szCs w:val="32"/>
        </w:rPr>
      </w:pPr>
    </w:p>
    <w:p w14:paraId="4F4A7CDA" w14:textId="05673A2B" w:rsidR="00881C1A" w:rsidRPr="00567E93" w:rsidRDefault="00032BDA" w:rsidP="00032BDA">
      <w:pPr>
        <w:ind w:left="-284" w:right="38"/>
        <w:jc w:val="center"/>
        <w:rPr>
          <w:rFonts w:ascii="Lucida Sans" w:eastAsia="Calibri" w:hAnsi="Lucida Sans"/>
          <w:b/>
          <w:bCs/>
          <w:color w:val="222A35" w:themeColor="text2" w:themeShade="80"/>
          <w:sz w:val="32"/>
          <w:szCs w:val="32"/>
        </w:rPr>
      </w:pPr>
      <w:r w:rsidRPr="00567E93">
        <w:rPr>
          <w:rFonts w:ascii="Lucida Sans" w:eastAsia="Calibri" w:hAnsi="Lucida Sans"/>
          <w:b/>
          <w:bCs/>
          <w:color w:val="222A35" w:themeColor="text2" w:themeShade="80"/>
          <w:sz w:val="28"/>
          <w:szCs w:val="28"/>
        </w:rPr>
        <w:t xml:space="preserve">CONTRATACIÓN </w:t>
      </w:r>
      <w:r w:rsidR="00567E93">
        <w:rPr>
          <w:rFonts w:ascii="Lucida Sans" w:eastAsia="Calibri" w:hAnsi="Lucida Sans"/>
          <w:b/>
          <w:bCs/>
          <w:color w:val="222A35" w:themeColor="text2" w:themeShade="80"/>
          <w:sz w:val="28"/>
          <w:szCs w:val="28"/>
        </w:rPr>
        <w:t xml:space="preserve">EN </w:t>
      </w:r>
      <w:r w:rsidR="000A7AF6">
        <w:rPr>
          <w:rFonts w:ascii="Lucida Sans" w:eastAsia="Calibri" w:hAnsi="Lucida Sans"/>
          <w:b/>
          <w:bCs/>
          <w:color w:val="222A35" w:themeColor="text2" w:themeShade="80"/>
          <w:sz w:val="28"/>
          <w:szCs w:val="28"/>
        </w:rPr>
        <w:t>EL</w:t>
      </w:r>
      <w:r w:rsidR="00567E93">
        <w:rPr>
          <w:rFonts w:ascii="Lucida Sans" w:eastAsia="Calibri" w:hAnsi="Lucida Sans"/>
          <w:b/>
          <w:bCs/>
          <w:color w:val="222A35" w:themeColor="text2" w:themeShade="80"/>
          <w:sz w:val="28"/>
          <w:szCs w:val="28"/>
        </w:rPr>
        <w:t xml:space="preserve"> </w:t>
      </w:r>
      <w:r w:rsidRPr="00567E93">
        <w:rPr>
          <w:rFonts w:ascii="Lucida Sans" w:eastAsia="Calibri" w:hAnsi="Lucida Sans"/>
          <w:b/>
          <w:bCs/>
          <w:color w:val="222A35" w:themeColor="text2" w:themeShade="80"/>
          <w:sz w:val="28"/>
          <w:szCs w:val="28"/>
        </w:rPr>
        <w:t>EJERCICIO 202</w:t>
      </w:r>
      <w:r w:rsidR="00AF05E0">
        <w:rPr>
          <w:rFonts w:ascii="Lucida Sans" w:eastAsia="Calibri" w:hAnsi="Lucida Sans"/>
          <w:b/>
          <w:bCs/>
          <w:color w:val="222A35" w:themeColor="text2" w:themeShade="80"/>
          <w:sz w:val="28"/>
          <w:szCs w:val="28"/>
        </w:rPr>
        <w:t>4</w:t>
      </w:r>
      <w:r w:rsidRPr="00567E93">
        <w:rPr>
          <w:rFonts w:ascii="Lucida Sans" w:eastAsia="Calibri" w:hAnsi="Lucida Sans"/>
          <w:b/>
          <w:bCs/>
          <w:color w:val="222A35" w:themeColor="text2" w:themeShade="80"/>
          <w:sz w:val="32"/>
          <w:szCs w:val="32"/>
        </w:rPr>
        <w:t xml:space="preserve">                              </w:t>
      </w:r>
    </w:p>
    <w:p w14:paraId="02AFB1AA" w14:textId="77777777" w:rsidR="00881C1A" w:rsidRPr="00567E93" w:rsidRDefault="00881C1A">
      <w:pPr>
        <w:jc w:val="center"/>
        <w:rPr>
          <w:rFonts w:ascii="Lucida Sans" w:eastAsia="Calibri" w:hAnsi="Lucida Sans"/>
          <w:color w:val="222A35" w:themeColor="text2" w:themeShade="80"/>
        </w:rPr>
      </w:pPr>
    </w:p>
    <w:p w14:paraId="0460948B" w14:textId="77777777" w:rsidR="00881C1A" w:rsidRPr="00567E93" w:rsidRDefault="00881C1A">
      <w:pPr>
        <w:widowControl w:val="0"/>
        <w:autoSpaceDE w:val="0"/>
        <w:rPr>
          <w:rFonts w:ascii="Lucida Sans" w:hAnsi="Lucida Sans"/>
          <w:b/>
          <w:color w:val="222A35" w:themeColor="text2" w:themeShade="80"/>
          <w:sz w:val="28"/>
          <w:szCs w:val="22"/>
          <w:lang w:val="es-ES_tradnl" w:eastAsia="en-US"/>
        </w:rPr>
      </w:pPr>
      <w:bookmarkStart w:id="0" w:name="_GoBack"/>
      <w:bookmarkEnd w:id="0"/>
    </w:p>
    <w:p w14:paraId="1BAAE592" w14:textId="098E0015" w:rsidR="00032BDA" w:rsidRPr="00567E93" w:rsidRDefault="00032BDA" w:rsidP="00032BDA">
      <w:pPr>
        <w:widowControl w:val="0"/>
        <w:autoSpaceDE w:val="0"/>
        <w:spacing w:before="180" w:line="249" w:lineRule="auto"/>
        <w:ind w:left="180" w:right="497" w:firstLine="3"/>
        <w:jc w:val="both"/>
        <w:rPr>
          <w:rFonts w:ascii="Lucida Sans" w:hAnsi="Lucida Sans"/>
          <w:b/>
          <w:bCs/>
          <w:color w:val="222A35" w:themeColor="text2" w:themeShade="80"/>
          <w:w w:val="105"/>
          <w:sz w:val="22"/>
          <w:lang w:eastAsia="en-US"/>
        </w:rPr>
      </w:pPr>
      <w:r w:rsidRPr="00567E93">
        <w:rPr>
          <w:rFonts w:ascii="Lucida Sans" w:hAnsi="Lucida Sans"/>
          <w:b/>
          <w:bCs/>
          <w:color w:val="222A35" w:themeColor="text2" w:themeShade="80"/>
          <w:w w:val="105"/>
          <w:sz w:val="22"/>
          <w:lang w:eastAsia="en-US"/>
        </w:rPr>
        <w:t>Órgano de contratación</w:t>
      </w:r>
    </w:p>
    <w:p w14:paraId="60F12BB3" w14:textId="1372A249" w:rsidR="00881C1A" w:rsidRPr="00567E93" w:rsidRDefault="00032BDA" w:rsidP="00032BDA">
      <w:pPr>
        <w:widowControl w:val="0"/>
        <w:autoSpaceDE w:val="0"/>
        <w:spacing w:before="180" w:line="249" w:lineRule="auto"/>
        <w:ind w:left="180" w:right="38" w:firstLine="3"/>
        <w:jc w:val="both"/>
        <w:rPr>
          <w:rFonts w:ascii="Lucida Sans" w:hAnsi="Lucida Sans"/>
          <w:color w:val="222A35" w:themeColor="text2" w:themeShade="80"/>
          <w:w w:val="105"/>
          <w:sz w:val="20"/>
          <w:szCs w:val="22"/>
          <w:lang w:eastAsia="en-US"/>
        </w:rPr>
      </w:pPr>
      <w:r w:rsidRPr="00567E93">
        <w:rPr>
          <w:rFonts w:ascii="Lucida Sans" w:hAnsi="Lucida Sans"/>
          <w:color w:val="222A35" w:themeColor="text2" w:themeShade="80"/>
          <w:w w:val="105"/>
          <w:sz w:val="20"/>
          <w:szCs w:val="22"/>
          <w:lang w:eastAsia="en-US"/>
        </w:rPr>
        <w:t xml:space="preserve">En la FLC las funciones del órgano de contratación las desempeña el Presidente de su Patronato, el Rector de la ULPGC D. Lluís Serra Majem. C/Juan de Quesada, nº 30, 35011, Las Palmas de Gran Canaria. España. </w:t>
      </w:r>
      <w:proofErr w:type="spellStart"/>
      <w:r w:rsidRPr="00567E93">
        <w:rPr>
          <w:rFonts w:ascii="Lucida Sans" w:hAnsi="Lucida Sans"/>
          <w:color w:val="222A35" w:themeColor="text2" w:themeShade="80"/>
          <w:w w:val="105"/>
          <w:sz w:val="20"/>
          <w:szCs w:val="22"/>
          <w:lang w:eastAsia="en-US"/>
        </w:rPr>
        <w:t>Tfno</w:t>
      </w:r>
      <w:proofErr w:type="spellEnd"/>
      <w:r w:rsidRPr="00567E93">
        <w:rPr>
          <w:rFonts w:ascii="Lucida Sans" w:hAnsi="Lucida Sans"/>
          <w:color w:val="222A35" w:themeColor="text2" w:themeShade="80"/>
          <w:w w:val="105"/>
          <w:sz w:val="20"/>
          <w:szCs w:val="22"/>
          <w:lang w:eastAsia="en-US"/>
        </w:rPr>
        <w:t xml:space="preserve">: 9201003, </w:t>
      </w:r>
      <w:hyperlink r:id="rId7" w:history="1">
        <w:r w:rsidRPr="00567E93">
          <w:rPr>
            <w:rStyle w:val="Hipervnculo"/>
            <w:rFonts w:ascii="Lucida Sans" w:hAnsi="Lucida Sans"/>
            <w:color w:val="222A35" w:themeColor="text2" w:themeShade="80"/>
            <w:w w:val="105"/>
            <w:sz w:val="20"/>
            <w:szCs w:val="22"/>
            <w:lang w:eastAsia="en-US"/>
          </w:rPr>
          <w:t>rector@ulpgc.es</w:t>
        </w:r>
      </w:hyperlink>
      <w:r w:rsidRPr="00567E93">
        <w:rPr>
          <w:rFonts w:ascii="Lucida Sans" w:hAnsi="Lucida Sans"/>
          <w:color w:val="222A35" w:themeColor="text2" w:themeShade="80"/>
          <w:w w:val="105"/>
          <w:sz w:val="20"/>
          <w:szCs w:val="22"/>
          <w:lang w:eastAsia="en-US"/>
        </w:rPr>
        <w:t>.</w:t>
      </w:r>
    </w:p>
    <w:p w14:paraId="561CE977" w14:textId="77777777" w:rsidR="00032BDA" w:rsidRPr="00567E93" w:rsidRDefault="00032BDA" w:rsidP="00032BDA">
      <w:pPr>
        <w:widowControl w:val="0"/>
        <w:autoSpaceDE w:val="0"/>
        <w:spacing w:before="180" w:line="249" w:lineRule="auto"/>
        <w:ind w:left="180" w:right="38" w:firstLine="3"/>
        <w:jc w:val="both"/>
        <w:rPr>
          <w:color w:val="222A35" w:themeColor="text2" w:themeShade="80"/>
        </w:rPr>
      </w:pPr>
    </w:p>
    <w:p w14:paraId="4F402434" w14:textId="1B889CE7" w:rsidR="00032BDA" w:rsidRPr="00567E93" w:rsidRDefault="00032BDA" w:rsidP="00032BDA">
      <w:pPr>
        <w:widowControl w:val="0"/>
        <w:autoSpaceDE w:val="0"/>
        <w:spacing w:before="180" w:line="249" w:lineRule="auto"/>
        <w:ind w:left="180" w:right="38" w:firstLine="3"/>
        <w:jc w:val="both"/>
        <w:rPr>
          <w:rFonts w:ascii="Lucida Sans" w:hAnsi="Lucida Sans"/>
          <w:b/>
          <w:bCs/>
          <w:color w:val="222A35" w:themeColor="text2" w:themeShade="80"/>
          <w:w w:val="105"/>
          <w:sz w:val="22"/>
          <w:lang w:eastAsia="en-US"/>
        </w:rPr>
      </w:pPr>
      <w:r w:rsidRPr="00567E93">
        <w:rPr>
          <w:rFonts w:ascii="Lucida Sans" w:hAnsi="Lucida Sans"/>
          <w:b/>
          <w:bCs/>
          <w:color w:val="222A35" w:themeColor="text2" w:themeShade="80"/>
          <w:w w:val="105"/>
          <w:sz w:val="22"/>
          <w:lang w:eastAsia="en-US"/>
        </w:rPr>
        <w:t>Contratos programados</w:t>
      </w:r>
    </w:p>
    <w:p w14:paraId="5EACBE44" w14:textId="6DEF65A6" w:rsidR="00032BDA" w:rsidRPr="00567E93" w:rsidRDefault="00567E93" w:rsidP="00032BDA">
      <w:pPr>
        <w:widowControl w:val="0"/>
        <w:autoSpaceDE w:val="0"/>
        <w:spacing w:before="180" w:line="249" w:lineRule="auto"/>
        <w:ind w:left="180" w:right="38" w:firstLine="3"/>
        <w:jc w:val="both"/>
        <w:rPr>
          <w:rFonts w:ascii="Lucida Sans" w:hAnsi="Lucida Sans"/>
          <w:color w:val="222A35" w:themeColor="text2" w:themeShade="80"/>
          <w:w w:val="105"/>
          <w:sz w:val="20"/>
          <w:szCs w:val="22"/>
          <w:lang w:eastAsia="en-US"/>
        </w:rPr>
      </w:pPr>
      <w:r w:rsidRPr="00567E93">
        <w:rPr>
          <w:rFonts w:ascii="Lucida Sans" w:hAnsi="Lucida Sans"/>
          <w:color w:val="222A35" w:themeColor="text2" w:themeShade="80"/>
          <w:w w:val="105"/>
          <w:sz w:val="20"/>
          <w:szCs w:val="22"/>
          <w:lang w:eastAsia="en-US"/>
        </w:rPr>
        <w:t>N</w:t>
      </w:r>
      <w:r w:rsidR="00032BDA" w:rsidRPr="00567E93">
        <w:rPr>
          <w:rFonts w:ascii="Lucida Sans" w:hAnsi="Lucida Sans"/>
          <w:color w:val="222A35" w:themeColor="text2" w:themeShade="80"/>
          <w:w w:val="105"/>
          <w:sz w:val="20"/>
          <w:szCs w:val="22"/>
          <w:lang w:eastAsia="en-US"/>
        </w:rPr>
        <w:t>o hubo.</w:t>
      </w:r>
    </w:p>
    <w:p w14:paraId="7B38CA95" w14:textId="77777777" w:rsidR="00032BDA" w:rsidRPr="00567E93" w:rsidRDefault="00032BDA" w:rsidP="00032BDA">
      <w:pPr>
        <w:widowControl w:val="0"/>
        <w:autoSpaceDE w:val="0"/>
        <w:spacing w:before="180" w:line="249" w:lineRule="auto"/>
        <w:ind w:left="180" w:right="38" w:firstLine="3"/>
        <w:jc w:val="both"/>
        <w:rPr>
          <w:color w:val="222A35" w:themeColor="text2" w:themeShade="80"/>
        </w:rPr>
      </w:pPr>
    </w:p>
    <w:p w14:paraId="1B751093" w14:textId="77777777" w:rsidR="00032BDA" w:rsidRPr="00567E93" w:rsidRDefault="00032BDA" w:rsidP="00032BDA">
      <w:pPr>
        <w:widowControl w:val="0"/>
        <w:autoSpaceDE w:val="0"/>
        <w:spacing w:before="180" w:line="249" w:lineRule="auto"/>
        <w:ind w:left="180" w:right="38" w:firstLine="3"/>
        <w:jc w:val="both"/>
        <w:rPr>
          <w:rFonts w:ascii="Lucida Sans" w:hAnsi="Lucida Sans"/>
          <w:b/>
          <w:bCs/>
          <w:color w:val="222A35" w:themeColor="text2" w:themeShade="80"/>
          <w:w w:val="105"/>
          <w:sz w:val="22"/>
          <w:lang w:eastAsia="en-US"/>
        </w:rPr>
      </w:pPr>
      <w:r w:rsidRPr="00567E93">
        <w:rPr>
          <w:rFonts w:ascii="Lucida Sans" w:hAnsi="Lucida Sans"/>
          <w:b/>
          <w:bCs/>
          <w:color w:val="222A35" w:themeColor="text2" w:themeShade="80"/>
          <w:w w:val="105"/>
          <w:sz w:val="22"/>
          <w:lang w:eastAsia="en-US"/>
        </w:rPr>
        <w:t>Composición y convocatorias de la mesa o del órgano de contratación</w:t>
      </w:r>
    </w:p>
    <w:p w14:paraId="1707F96B" w14:textId="503BE3A7" w:rsidR="00032BDA" w:rsidRPr="00567E93" w:rsidRDefault="00032BDA" w:rsidP="00032BDA">
      <w:pPr>
        <w:widowControl w:val="0"/>
        <w:autoSpaceDE w:val="0"/>
        <w:spacing w:before="180" w:line="249" w:lineRule="auto"/>
        <w:ind w:left="180" w:right="38" w:firstLine="3"/>
        <w:jc w:val="both"/>
        <w:rPr>
          <w:color w:val="222A35" w:themeColor="text2" w:themeShade="80"/>
        </w:rPr>
      </w:pPr>
      <w:r w:rsidRPr="00567E93">
        <w:rPr>
          <w:rFonts w:ascii="Lucida Sans" w:hAnsi="Lucida Sans"/>
          <w:color w:val="222A35" w:themeColor="text2" w:themeShade="80"/>
          <w:w w:val="105"/>
          <w:sz w:val="20"/>
          <w:szCs w:val="22"/>
          <w:lang w:eastAsia="en-US"/>
        </w:rPr>
        <w:t>En 202</w:t>
      </w:r>
      <w:r w:rsidR="00AF05E0">
        <w:rPr>
          <w:rFonts w:ascii="Lucida Sans" w:hAnsi="Lucida Sans"/>
          <w:color w:val="222A35" w:themeColor="text2" w:themeShade="80"/>
          <w:w w:val="105"/>
          <w:sz w:val="20"/>
          <w:szCs w:val="22"/>
          <w:lang w:eastAsia="en-US"/>
        </w:rPr>
        <w:t>3</w:t>
      </w:r>
      <w:r w:rsidRPr="00567E93">
        <w:rPr>
          <w:rFonts w:ascii="Lucida Sans" w:hAnsi="Lucida Sans"/>
          <w:color w:val="222A35" w:themeColor="text2" w:themeShade="80"/>
          <w:w w:val="105"/>
          <w:sz w:val="20"/>
          <w:szCs w:val="22"/>
          <w:lang w:eastAsia="en-US"/>
        </w:rPr>
        <w:t xml:space="preserve"> y 202</w:t>
      </w:r>
      <w:r w:rsidR="00AF05E0">
        <w:rPr>
          <w:rFonts w:ascii="Lucida Sans" w:hAnsi="Lucida Sans"/>
          <w:color w:val="222A35" w:themeColor="text2" w:themeShade="80"/>
          <w:w w:val="105"/>
          <w:sz w:val="20"/>
          <w:szCs w:val="22"/>
          <w:lang w:eastAsia="en-US"/>
        </w:rPr>
        <w:t>4</w:t>
      </w:r>
      <w:r w:rsidRPr="00567E93">
        <w:rPr>
          <w:rFonts w:ascii="Lucida Sans" w:hAnsi="Lucida Sans"/>
          <w:color w:val="222A35" w:themeColor="text2" w:themeShade="80"/>
          <w:w w:val="105"/>
          <w:sz w:val="20"/>
          <w:szCs w:val="22"/>
          <w:lang w:eastAsia="en-US"/>
        </w:rPr>
        <w:t xml:space="preserve"> el órgano de contratación l</w:t>
      </w:r>
      <w:r w:rsidR="00AF05E0">
        <w:rPr>
          <w:rFonts w:ascii="Lucida Sans" w:hAnsi="Lucida Sans"/>
          <w:color w:val="222A35" w:themeColor="text2" w:themeShade="80"/>
          <w:w w:val="105"/>
          <w:sz w:val="20"/>
          <w:szCs w:val="22"/>
          <w:lang w:eastAsia="en-US"/>
        </w:rPr>
        <w:t>o</w:t>
      </w:r>
      <w:r w:rsidRPr="00567E93">
        <w:rPr>
          <w:rFonts w:ascii="Lucida Sans" w:hAnsi="Lucida Sans"/>
          <w:color w:val="222A35" w:themeColor="text2" w:themeShade="80"/>
          <w:w w:val="105"/>
          <w:sz w:val="20"/>
          <w:szCs w:val="22"/>
          <w:lang w:eastAsia="en-US"/>
        </w:rPr>
        <w:t xml:space="preserve"> desempeña el </w:t>
      </w:r>
      <w:proofErr w:type="gramStart"/>
      <w:r w:rsidRPr="00567E93">
        <w:rPr>
          <w:rFonts w:ascii="Lucida Sans" w:hAnsi="Lucida Sans"/>
          <w:color w:val="222A35" w:themeColor="text2" w:themeShade="80"/>
          <w:w w:val="105"/>
          <w:sz w:val="20"/>
          <w:szCs w:val="22"/>
          <w:lang w:eastAsia="en-US"/>
        </w:rPr>
        <w:t>Presidente</w:t>
      </w:r>
      <w:proofErr w:type="gramEnd"/>
      <w:r w:rsidRPr="00567E93">
        <w:rPr>
          <w:rFonts w:ascii="Lucida Sans" w:hAnsi="Lucida Sans"/>
          <w:color w:val="222A35" w:themeColor="text2" w:themeShade="80"/>
          <w:w w:val="105"/>
          <w:sz w:val="20"/>
          <w:szCs w:val="22"/>
          <w:lang w:eastAsia="en-US"/>
        </w:rPr>
        <w:t xml:space="preserve"> de su Patronato, el Rector de la ULPGC, por lo que no hubo convocatorias.</w:t>
      </w:r>
    </w:p>
    <w:p w14:paraId="64347432" w14:textId="77777777" w:rsidR="00032BDA" w:rsidRPr="00567E93" w:rsidRDefault="00032BDA" w:rsidP="00032BDA">
      <w:pPr>
        <w:widowControl w:val="0"/>
        <w:autoSpaceDE w:val="0"/>
        <w:spacing w:before="180" w:line="249" w:lineRule="auto"/>
        <w:ind w:left="180" w:right="38" w:firstLine="3"/>
        <w:jc w:val="both"/>
        <w:rPr>
          <w:color w:val="222A35" w:themeColor="text2" w:themeShade="80"/>
        </w:rPr>
      </w:pPr>
    </w:p>
    <w:p w14:paraId="4BD62340" w14:textId="31F47129" w:rsidR="00B90C57" w:rsidRPr="00567E93" w:rsidRDefault="00B90C57" w:rsidP="00B90C57">
      <w:pPr>
        <w:widowControl w:val="0"/>
        <w:autoSpaceDE w:val="0"/>
        <w:spacing w:before="180" w:line="249" w:lineRule="auto"/>
        <w:ind w:left="180" w:right="38" w:firstLine="3"/>
        <w:jc w:val="both"/>
        <w:rPr>
          <w:rFonts w:ascii="Lucida Sans" w:hAnsi="Lucida Sans"/>
          <w:color w:val="222A35" w:themeColor="text2" w:themeShade="80"/>
          <w:lang w:val="es-ES_tradnl"/>
        </w:rPr>
      </w:pPr>
      <w:r w:rsidRPr="00567E93">
        <w:rPr>
          <w:rFonts w:ascii="Lucida Sans" w:hAnsi="Lucida Sans"/>
          <w:b/>
          <w:bCs/>
          <w:color w:val="222A35" w:themeColor="text2" w:themeShade="80"/>
          <w:lang w:val="es-ES_tradnl"/>
        </w:rPr>
        <w:t>EJERCICIO 202</w:t>
      </w:r>
      <w:r>
        <w:rPr>
          <w:rFonts w:ascii="Lucida Sans" w:hAnsi="Lucida Sans"/>
          <w:b/>
          <w:bCs/>
          <w:color w:val="222A35" w:themeColor="text2" w:themeShade="80"/>
          <w:lang w:val="es-ES_tradnl"/>
        </w:rPr>
        <w:t>4</w:t>
      </w:r>
      <w:r w:rsidRPr="00567E93">
        <w:rPr>
          <w:rFonts w:ascii="Lucida Sans" w:hAnsi="Lucida Sans"/>
          <w:b/>
          <w:bCs/>
          <w:color w:val="222A35" w:themeColor="text2" w:themeShade="80"/>
          <w:lang w:val="es-ES_tradnl"/>
        </w:rPr>
        <w:t xml:space="preserve">  </w:t>
      </w:r>
      <w:r w:rsidRPr="00567E93">
        <w:rPr>
          <w:rFonts w:ascii="Lucida Sans" w:hAnsi="Lucida Sans"/>
          <w:color w:val="222A35" w:themeColor="text2" w:themeShade="80"/>
          <w:lang w:val="es-ES_tradnl"/>
        </w:rPr>
        <w:t>[</w:t>
      </w:r>
      <w:r>
        <w:rPr>
          <w:rFonts w:ascii="Lucida Sans" w:hAnsi="Lucida Sans"/>
          <w:color w:val="222A35" w:themeColor="text2" w:themeShade="80"/>
          <w:lang w:val="es-ES_tradnl"/>
        </w:rPr>
        <w:t>16</w:t>
      </w:r>
      <w:r w:rsidRPr="00567E93">
        <w:rPr>
          <w:rFonts w:ascii="Lucida Sans" w:hAnsi="Lucida Sans"/>
          <w:color w:val="222A35" w:themeColor="text2" w:themeShade="80"/>
          <w:lang w:val="es-ES_tradnl"/>
        </w:rPr>
        <w:t>/0</w:t>
      </w:r>
      <w:r>
        <w:rPr>
          <w:rFonts w:ascii="Lucida Sans" w:hAnsi="Lucida Sans"/>
          <w:color w:val="222A35" w:themeColor="text2" w:themeShade="80"/>
          <w:lang w:val="es-ES_tradnl"/>
        </w:rPr>
        <w:t>6</w:t>
      </w:r>
      <w:r w:rsidRPr="00567E93">
        <w:rPr>
          <w:rFonts w:ascii="Lucida Sans" w:hAnsi="Lucida Sans"/>
          <w:color w:val="222A35" w:themeColor="text2" w:themeShade="80"/>
          <w:lang w:val="es-ES_tradnl"/>
        </w:rPr>
        <w:t>/2024]</w:t>
      </w:r>
    </w:p>
    <w:p w14:paraId="71133D11" w14:textId="416AC4FD" w:rsidR="00B90C57" w:rsidRPr="00567E93" w:rsidRDefault="00B90C57" w:rsidP="00B90C57">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color w:val="222A35" w:themeColor="text2" w:themeShade="80"/>
          <w:sz w:val="20"/>
          <w:szCs w:val="20"/>
          <w:lang w:val="es-ES_tradnl"/>
        </w:rPr>
        <w:t>En 202</w:t>
      </w:r>
      <w:r>
        <w:rPr>
          <w:rFonts w:ascii="Lucida Sans" w:hAnsi="Lucida Sans"/>
          <w:color w:val="222A35" w:themeColor="text2" w:themeShade="80"/>
          <w:sz w:val="20"/>
          <w:szCs w:val="20"/>
          <w:lang w:val="es-ES_tradnl"/>
        </w:rPr>
        <w:t>4</w:t>
      </w:r>
      <w:r w:rsidRPr="00567E93">
        <w:rPr>
          <w:rFonts w:ascii="Lucida Sans" w:hAnsi="Lucida Sans"/>
          <w:color w:val="222A35" w:themeColor="text2" w:themeShade="80"/>
          <w:sz w:val="20"/>
          <w:szCs w:val="20"/>
          <w:lang w:val="es-ES_tradnl"/>
        </w:rPr>
        <w:t xml:space="preserve"> no ha habido contratos no menores programados. Únicamente se formalizaron contratos menores que, por su naturaleza y cuantía (importe inferior a 15.000 € en suministros o servicios, o 40.000 € en obras), no están sometidos al procedimiento de publicidad o licitación pública, y fueron adjudicados directamente a empresas y profesionales de reconocido prestigio y experiencia.</w:t>
      </w:r>
    </w:p>
    <w:p w14:paraId="3BA4D378" w14:textId="41901746" w:rsidR="00B90C57" w:rsidRDefault="00B90C57" w:rsidP="00B90C57">
      <w:pPr>
        <w:widowControl w:val="0"/>
        <w:autoSpaceDE w:val="0"/>
        <w:spacing w:before="180" w:line="249" w:lineRule="auto"/>
        <w:ind w:left="180" w:right="38" w:firstLine="3"/>
        <w:jc w:val="both"/>
        <w:rPr>
          <w:rFonts w:ascii="Lucida Sans" w:hAnsi="Lucida Sans"/>
          <w:sz w:val="20"/>
          <w:szCs w:val="20"/>
          <w:lang w:val="es-ES_tradnl"/>
        </w:rPr>
      </w:pPr>
      <w:r w:rsidRPr="00567E93">
        <w:rPr>
          <w:rFonts w:ascii="Lucida Sans" w:hAnsi="Lucida Sans"/>
          <w:color w:val="222A35" w:themeColor="text2" w:themeShade="80"/>
          <w:sz w:val="20"/>
          <w:szCs w:val="20"/>
          <w:lang w:val="es-ES_tradnl"/>
        </w:rPr>
        <w:t>No se ha resuelto ningún contrato. No ha existido ninguna modificación, prórroga de plazo de duración o ejecución, desistimiento, o renuncia a estos contratos formalizados, y han transcurrido sin ningún tipo de penalización por incumplimiento. Tampoco se ha formulado ninguna pregunta o aclaración en relación a su contenido. No se han realizado licitaciones o concesiones de ningún tipo, ni se han anulado</w:t>
      </w:r>
      <w:r w:rsidR="00887E33">
        <w:rPr>
          <w:rFonts w:ascii="Lucida Sans" w:hAnsi="Lucida Sans"/>
          <w:color w:val="222A35" w:themeColor="text2" w:themeShade="80"/>
          <w:sz w:val="20"/>
          <w:szCs w:val="20"/>
          <w:lang w:val="es-ES_tradnl"/>
        </w:rPr>
        <w:t xml:space="preserve">. </w:t>
      </w:r>
      <w:r w:rsidRPr="00567E93">
        <w:rPr>
          <w:rFonts w:ascii="Lucida Sans" w:hAnsi="Lucida Sans"/>
          <w:color w:val="222A35" w:themeColor="text2" w:themeShade="80"/>
          <w:sz w:val="20"/>
          <w:szCs w:val="20"/>
          <w:lang w:val="es-ES_tradnl"/>
        </w:rPr>
        <w:t>No hay ninguna licitación en curso.</w:t>
      </w:r>
      <w:r w:rsidR="00887E33">
        <w:rPr>
          <w:rFonts w:ascii="Lucida Sans" w:hAnsi="Lucida Sans"/>
          <w:color w:val="222A35" w:themeColor="text2" w:themeShade="80"/>
          <w:sz w:val="20"/>
          <w:szCs w:val="20"/>
          <w:lang w:val="es-ES_tradnl"/>
        </w:rPr>
        <w:t xml:space="preserve"> </w:t>
      </w:r>
      <w:r w:rsidR="00887E33" w:rsidRPr="00801F83">
        <w:rPr>
          <w:rFonts w:ascii="Lucida Sans" w:hAnsi="Lucida Sans"/>
          <w:sz w:val="20"/>
          <w:szCs w:val="20"/>
          <w:lang w:val="es-ES_tradnl"/>
        </w:rPr>
        <w:t xml:space="preserve">No hay información relativa a pliegos de prescripciones técnicas y de cláusulas administrativas durante el periodo evaluado. </w:t>
      </w:r>
      <w:r w:rsidR="00442755" w:rsidRPr="00801F83">
        <w:rPr>
          <w:rFonts w:ascii="Lucida Sans" w:hAnsi="Lucida Sans"/>
          <w:sz w:val="20"/>
          <w:szCs w:val="20"/>
          <w:lang w:val="es-ES_tradnl"/>
        </w:rPr>
        <w:t xml:space="preserve"> </w:t>
      </w:r>
      <w:r w:rsidR="000A7AF6" w:rsidRPr="00801F83">
        <w:rPr>
          <w:rFonts w:ascii="Lucida Sans" w:hAnsi="Lucida Sans"/>
          <w:sz w:val="20"/>
          <w:szCs w:val="20"/>
          <w:lang w:val="es-ES_tradnl"/>
        </w:rPr>
        <w:t>En consecuencia, n</w:t>
      </w:r>
      <w:r w:rsidR="00442755" w:rsidRPr="00801F83">
        <w:rPr>
          <w:rFonts w:ascii="Lucida Sans" w:hAnsi="Lucida Sans"/>
          <w:sz w:val="20"/>
          <w:szCs w:val="20"/>
          <w:lang w:val="es-ES_tradnl"/>
        </w:rPr>
        <w:t>o procede la publicación de instrucciones, normas internas de contratación u otra información relativa a estos aspectos en particular.</w:t>
      </w:r>
    </w:p>
    <w:p w14:paraId="29037E3F" w14:textId="6C5D5AAD" w:rsidR="00C920BF" w:rsidRPr="00C920BF" w:rsidRDefault="00C920BF" w:rsidP="00C920BF">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C920BF">
        <w:rPr>
          <w:rFonts w:ascii="Lucida Sans" w:hAnsi="Lucida Sans"/>
          <w:color w:val="222A35" w:themeColor="text2" w:themeShade="80"/>
          <w:sz w:val="20"/>
          <w:szCs w:val="20"/>
          <w:lang w:val="es-ES_tradnl"/>
        </w:rPr>
        <w:t>En 2024, el 100% de la contratación corresponde a contratos menores no sujetos a licitación ni concesión. No se han celebrado en el periodo evaluado procedimientos abiertos, abiertos simplificados, restringidos, negociados en los que sea necesario publicar anuncios de licitación o sean de imperiosa urgencia, de diálogo competitivo, de licitación con negociación ni de asociación para la innovación. En consecuencia, no existen pliegos de prescripciones técnicas y de cláusulas administrativas. </w:t>
      </w:r>
    </w:p>
    <w:p w14:paraId="3D517491" w14:textId="6E49C7EC" w:rsidR="00B90C57" w:rsidRPr="00567E93" w:rsidRDefault="00B90C57" w:rsidP="00B90C57">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color w:val="222A35" w:themeColor="text2" w:themeShade="80"/>
          <w:sz w:val="20"/>
          <w:szCs w:val="20"/>
          <w:lang w:val="es-ES_tradnl"/>
        </w:rPr>
        <w:t xml:space="preserve">Los contratos de arrendamiento de los bienes inmuebles propiedad de la Fundación se rigen </w:t>
      </w:r>
      <w:r w:rsidRPr="00567E93">
        <w:rPr>
          <w:rFonts w:ascii="Lucida Sans" w:hAnsi="Lucida Sans"/>
          <w:color w:val="222A35" w:themeColor="text2" w:themeShade="80"/>
          <w:sz w:val="20"/>
          <w:szCs w:val="20"/>
          <w:lang w:val="es-ES_tradnl"/>
        </w:rPr>
        <w:lastRenderedPageBreak/>
        <w:t>según lo dispuesto en la legislación civil. En 202</w:t>
      </w:r>
      <w:r>
        <w:rPr>
          <w:rFonts w:ascii="Lucida Sans" w:hAnsi="Lucida Sans"/>
          <w:color w:val="222A35" w:themeColor="text2" w:themeShade="80"/>
          <w:sz w:val="20"/>
          <w:szCs w:val="20"/>
          <w:lang w:val="es-ES_tradnl"/>
        </w:rPr>
        <w:t>4</w:t>
      </w:r>
      <w:r w:rsidRPr="00567E93">
        <w:rPr>
          <w:rFonts w:ascii="Lucida Sans" w:hAnsi="Lucida Sans"/>
          <w:color w:val="222A35" w:themeColor="text2" w:themeShade="80"/>
          <w:sz w:val="20"/>
          <w:szCs w:val="20"/>
          <w:lang w:val="es-ES_tradnl"/>
        </w:rPr>
        <w:t xml:space="preserve"> la FLC no ha recibido ninguna pregunta relativa al contenido de dichos contratos, ni los ha modificado. Desde su creación, la FLC no ha sido arrendataria de bienes inmuebles. Los contratos de arrendamiento han transcurrido sin ningún tipo de penalización por incumplimiento. Tampoco se ha formulado ninguna pregunta o aclaración en relación a su contenido.</w:t>
      </w:r>
    </w:p>
    <w:sectPr w:rsidR="00B90C57" w:rsidRPr="00567E93">
      <w:headerReference w:type="default" r:id="rId8"/>
      <w:footerReference w:type="default" r:id="rId9"/>
      <w:pgSz w:w="11910" w:h="16840"/>
      <w:pgMar w:top="1660" w:right="1420" w:bottom="2127" w:left="1380" w:header="9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D0F9C" w14:textId="77777777" w:rsidR="005F592A" w:rsidRDefault="005F592A">
      <w:r>
        <w:separator/>
      </w:r>
    </w:p>
  </w:endnote>
  <w:endnote w:type="continuationSeparator" w:id="0">
    <w:p w14:paraId="5041F206" w14:textId="77777777" w:rsidR="005F592A" w:rsidRDefault="005F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8D9F" w14:textId="77777777" w:rsidR="00193332" w:rsidRDefault="00193332">
    <w:pPr>
      <w:pStyle w:val="Piedepgina"/>
      <w:spacing w:before="2" w:after="2"/>
      <w:jc w:val="center"/>
    </w:pPr>
  </w:p>
  <w:p w14:paraId="5C47FE5B" w14:textId="77777777" w:rsidR="00193332" w:rsidRDefault="001933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B7421" w14:textId="77777777" w:rsidR="005F592A" w:rsidRDefault="005F592A">
      <w:r>
        <w:rPr>
          <w:color w:val="000000"/>
        </w:rPr>
        <w:separator/>
      </w:r>
    </w:p>
  </w:footnote>
  <w:footnote w:type="continuationSeparator" w:id="0">
    <w:p w14:paraId="265C6696" w14:textId="77777777" w:rsidR="005F592A" w:rsidRDefault="005F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48" w:type="dxa"/>
      <w:tblLayout w:type="fixed"/>
      <w:tblCellMar>
        <w:left w:w="10" w:type="dxa"/>
        <w:right w:w="10" w:type="dxa"/>
      </w:tblCellMar>
      <w:tblLook w:val="04A0" w:firstRow="1" w:lastRow="0" w:firstColumn="1" w:lastColumn="0" w:noHBand="0" w:noVBand="1"/>
    </w:tblPr>
    <w:tblGrid>
      <w:gridCol w:w="8748"/>
    </w:tblGrid>
    <w:tr w:rsidR="003F18C7" w14:paraId="616A609D" w14:textId="77777777">
      <w:trPr>
        <w:trHeight w:val="709"/>
      </w:trPr>
      <w:tc>
        <w:tcPr>
          <w:tcW w:w="8748" w:type="dxa"/>
          <w:shd w:val="clear" w:color="auto" w:fill="auto"/>
          <w:tcMar>
            <w:top w:w="0" w:type="dxa"/>
            <w:left w:w="108" w:type="dxa"/>
            <w:bottom w:w="0" w:type="dxa"/>
            <w:right w:w="108" w:type="dxa"/>
          </w:tcMar>
        </w:tcPr>
        <w:p w14:paraId="6DFBFDC3" w14:textId="77777777" w:rsidR="00193332" w:rsidRDefault="00171356">
          <w:pPr>
            <w:jc w:val="center"/>
            <w:rPr>
              <w:rFonts w:ascii="Gill Sans MT" w:hAnsi="Gill Sans MT" w:cs="Arial"/>
              <w:bCs/>
              <w:color w:val="808000"/>
              <w:spacing w:val="-15"/>
              <w:sz w:val="28"/>
              <w:szCs w:val="28"/>
            </w:rPr>
          </w:pPr>
          <w:r>
            <w:rPr>
              <w:rFonts w:ascii="Gill Sans MT" w:hAnsi="Gill Sans MT" w:cs="Arial"/>
              <w:bCs/>
              <w:color w:val="808000"/>
              <w:spacing w:val="-15"/>
              <w:sz w:val="28"/>
              <w:szCs w:val="28"/>
            </w:rPr>
            <w:t>Fundación Canaria</w:t>
          </w:r>
        </w:p>
        <w:p w14:paraId="774306D7" w14:textId="77777777" w:rsidR="00193332" w:rsidRDefault="00171356">
          <w:pPr>
            <w:jc w:val="center"/>
          </w:pPr>
          <w:r>
            <w:rPr>
              <w:rFonts w:ascii="Gill Sans MT" w:hAnsi="Gill Sans MT" w:cs="Arial"/>
              <w:b/>
              <w:bCs/>
              <w:color w:val="808000"/>
              <w:spacing w:val="-15"/>
              <w:sz w:val="44"/>
              <w:szCs w:val="44"/>
            </w:rPr>
            <w:t>Lucio de las Casas</w:t>
          </w:r>
        </w:p>
      </w:tc>
    </w:tr>
  </w:tbl>
  <w:p w14:paraId="49094046" w14:textId="77777777" w:rsidR="00193332" w:rsidRDefault="001933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22C7E"/>
    <w:multiLevelType w:val="multilevel"/>
    <w:tmpl w:val="1FA0A008"/>
    <w:lvl w:ilvl="0">
      <w:numFmt w:val="bullet"/>
      <w:lvlText w:val="-"/>
      <w:lvlJc w:val="left"/>
      <w:pPr>
        <w:ind w:left="720" w:hanging="360"/>
      </w:pPr>
      <w:rPr>
        <w:rFonts w:ascii="Lucida Sans" w:eastAsia="Calibri" w:hAnsi="Lucida San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AAD0B5D"/>
    <w:multiLevelType w:val="multilevel"/>
    <w:tmpl w:val="2954CC40"/>
    <w:lvl w:ilvl="0">
      <w:numFmt w:val="bullet"/>
      <w:lvlText w:val=""/>
      <w:lvlJc w:val="left"/>
      <w:pPr>
        <w:ind w:left="903" w:hanging="360"/>
      </w:pPr>
      <w:rPr>
        <w:rFonts w:ascii="Symbol" w:hAnsi="Symbol"/>
      </w:rPr>
    </w:lvl>
    <w:lvl w:ilvl="1">
      <w:numFmt w:val="bullet"/>
      <w:lvlText w:val="o"/>
      <w:lvlJc w:val="left"/>
      <w:pPr>
        <w:ind w:left="1623" w:hanging="360"/>
      </w:pPr>
      <w:rPr>
        <w:rFonts w:ascii="Courier New" w:hAnsi="Courier New" w:cs="Courier New"/>
      </w:rPr>
    </w:lvl>
    <w:lvl w:ilvl="2">
      <w:numFmt w:val="bullet"/>
      <w:lvlText w:val=""/>
      <w:lvlJc w:val="left"/>
      <w:pPr>
        <w:ind w:left="2343" w:hanging="360"/>
      </w:pPr>
      <w:rPr>
        <w:rFonts w:ascii="Wingdings" w:hAnsi="Wingdings"/>
      </w:rPr>
    </w:lvl>
    <w:lvl w:ilvl="3">
      <w:numFmt w:val="bullet"/>
      <w:lvlText w:val=""/>
      <w:lvlJc w:val="left"/>
      <w:pPr>
        <w:ind w:left="3063" w:hanging="360"/>
      </w:pPr>
      <w:rPr>
        <w:rFonts w:ascii="Symbol" w:hAnsi="Symbol"/>
      </w:rPr>
    </w:lvl>
    <w:lvl w:ilvl="4">
      <w:numFmt w:val="bullet"/>
      <w:lvlText w:val="o"/>
      <w:lvlJc w:val="left"/>
      <w:pPr>
        <w:ind w:left="3783" w:hanging="360"/>
      </w:pPr>
      <w:rPr>
        <w:rFonts w:ascii="Courier New" w:hAnsi="Courier New" w:cs="Courier New"/>
      </w:rPr>
    </w:lvl>
    <w:lvl w:ilvl="5">
      <w:numFmt w:val="bullet"/>
      <w:lvlText w:val=""/>
      <w:lvlJc w:val="left"/>
      <w:pPr>
        <w:ind w:left="4503" w:hanging="360"/>
      </w:pPr>
      <w:rPr>
        <w:rFonts w:ascii="Wingdings" w:hAnsi="Wingdings"/>
      </w:rPr>
    </w:lvl>
    <w:lvl w:ilvl="6">
      <w:numFmt w:val="bullet"/>
      <w:lvlText w:val=""/>
      <w:lvlJc w:val="left"/>
      <w:pPr>
        <w:ind w:left="5223" w:hanging="360"/>
      </w:pPr>
      <w:rPr>
        <w:rFonts w:ascii="Symbol" w:hAnsi="Symbol"/>
      </w:rPr>
    </w:lvl>
    <w:lvl w:ilvl="7">
      <w:numFmt w:val="bullet"/>
      <w:lvlText w:val="o"/>
      <w:lvlJc w:val="left"/>
      <w:pPr>
        <w:ind w:left="5943" w:hanging="360"/>
      </w:pPr>
      <w:rPr>
        <w:rFonts w:ascii="Courier New" w:hAnsi="Courier New" w:cs="Courier New"/>
      </w:rPr>
    </w:lvl>
    <w:lvl w:ilvl="8">
      <w:numFmt w:val="bullet"/>
      <w:lvlText w:val=""/>
      <w:lvlJc w:val="left"/>
      <w:pPr>
        <w:ind w:left="6663"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1A"/>
    <w:rsid w:val="00032BDA"/>
    <w:rsid w:val="000A7AF6"/>
    <w:rsid w:val="00171356"/>
    <w:rsid w:val="00193332"/>
    <w:rsid w:val="003474EF"/>
    <w:rsid w:val="00442755"/>
    <w:rsid w:val="00567E93"/>
    <w:rsid w:val="005F592A"/>
    <w:rsid w:val="00801F83"/>
    <w:rsid w:val="00881C1A"/>
    <w:rsid w:val="00887E33"/>
    <w:rsid w:val="00AF05E0"/>
    <w:rsid w:val="00B90C57"/>
    <w:rsid w:val="00C920B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66A6"/>
  <w15:docId w15:val="{B804C3B2-DA1D-4A48-99BE-7196CE52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character" w:customStyle="1" w:styleId="EncabezadoCar">
    <w:name w:val="Encabezado Car"/>
    <w:basedOn w:val="Fuentedeprrafopredeter"/>
    <w:rPr>
      <w:sz w:val="24"/>
      <w:szCs w:val="24"/>
      <w:lang w:val="es-ES" w:eastAsia="es-ES"/>
    </w:rPr>
  </w:style>
  <w:style w:type="character" w:styleId="Hipervnculo">
    <w:name w:val="Hyperlink"/>
    <w:basedOn w:val="Fuentedeprrafopredeter"/>
    <w:rPr>
      <w:color w:val="0000D4"/>
      <w:u w:val="single"/>
    </w:rPr>
  </w:style>
  <w:style w:type="character" w:styleId="Hipervnculovisitado">
    <w:name w:val="FollowedHyperlink"/>
    <w:basedOn w:val="Fuentedeprrafopredeter"/>
    <w:rPr>
      <w:color w:val="993366"/>
      <w:u w:val="single"/>
    </w:rPr>
  </w:style>
  <w:style w:type="paragraph" w:customStyle="1" w:styleId="font5">
    <w:name w:val="font5"/>
    <w:basedOn w:val="Normal"/>
    <w:rPr>
      <w:rFonts w:ascii="Verdana" w:hAnsi="Verdana"/>
      <w:sz w:val="16"/>
      <w:szCs w:val="16"/>
      <w:lang w:val="es-ES_tradnl" w:eastAsia="es-ES_tradnl"/>
    </w:rPr>
  </w:style>
  <w:style w:type="paragraph" w:customStyle="1" w:styleId="xl24">
    <w:name w:val="xl24"/>
    <w:basedOn w:val="Normal"/>
    <w:rPr>
      <w:rFonts w:ascii="Tahoma" w:hAnsi="Tahoma"/>
      <w:sz w:val="20"/>
      <w:szCs w:val="20"/>
      <w:lang w:val="es-ES_tradnl" w:eastAsia="es-ES_tradnl"/>
    </w:rPr>
  </w:style>
  <w:style w:type="paragraph" w:customStyle="1" w:styleId="xl25">
    <w:name w:val="xl25"/>
    <w:basedOn w:val="Normal"/>
    <w:pPr>
      <w:pBdr>
        <w:top w:val="single" w:sz="8" w:space="0" w:color="000000"/>
        <w:left w:val="single" w:sz="8" w:space="0" w:color="000000"/>
        <w:bottom w:val="single" w:sz="8" w:space="0" w:color="000000"/>
        <w:right w:val="single" w:sz="8" w:space="0" w:color="000000"/>
      </w:pBdr>
    </w:pPr>
    <w:rPr>
      <w:rFonts w:ascii="Tahoma" w:hAnsi="Tahoma"/>
      <w:sz w:val="20"/>
      <w:szCs w:val="20"/>
      <w:lang w:val="es-ES_tradnl" w:eastAsia="es-ES_tradnl"/>
    </w:rPr>
  </w:style>
  <w:style w:type="paragraph" w:customStyle="1" w:styleId="xl26">
    <w:name w:val="xl26"/>
    <w:basedOn w:val="Normal"/>
    <w:pPr>
      <w:pBdr>
        <w:top w:val="single" w:sz="8" w:space="0" w:color="000000"/>
        <w:left w:val="single" w:sz="8" w:space="0" w:color="000000"/>
        <w:bottom w:val="single" w:sz="8" w:space="0" w:color="000000"/>
        <w:right w:val="single" w:sz="8" w:space="0" w:color="000000"/>
      </w:pBdr>
    </w:pPr>
    <w:rPr>
      <w:rFonts w:ascii="Tahoma" w:hAnsi="Tahoma"/>
      <w:sz w:val="20"/>
      <w:szCs w:val="20"/>
      <w:lang w:val="es-ES_tradnl" w:eastAsia="es-ES_tradnl"/>
    </w:rPr>
  </w:style>
  <w:style w:type="paragraph" w:customStyle="1" w:styleId="xl27">
    <w:name w:val="xl27"/>
    <w:basedOn w:val="Normal"/>
    <w:pPr>
      <w:pBdr>
        <w:top w:val="single" w:sz="8" w:space="0" w:color="000000"/>
        <w:left w:val="single" w:sz="8" w:space="0" w:color="000000"/>
        <w:bottom w:val="single" w:sz="8" w:space="0" w:color="000000"/>
        <w:right w:val="single" w:sz="8" w:space="0" w:color="000000"/>
      </w:pBdr>
    </w:pPr>
    <w:rPr>
      <w:rFonts w:ascii="Tahoma" w:hAnsi="Tahoma"/>
      <w:sz w:val="20"/>
      <w:szCs w:val="20"/>
      <w:lang w:val="es-ES_tradnl" w:eastAsia="es-ES_tradnl"/>
    </w:rPr>
  </w:style>
  <w:style w:type="paragraph" w:customStyle="1" w:styleId="xl28">
    <w:name w:val="xl28"/>
    <w:basedOn w:val="Normal"/>
    <w:rPr>
      <w:rFonts w:ascii="Tahoma" w:hAnsi="Tahoma"/>
      <w:sz w:val="20"/>
      <w:szCs w:val="20"/>
      <w:lang w:val="es-ES_tradnl" w:eastAsia="es-ES_tradnl"/>
    </w:rPr>
  </w:style>
  <w:style w:type="paragraph" w:customStyle="1" w:styleId="xl29">
    <w:name w:val="xl29"/>
    <w:basedOn w:val="Normal"/>
    <w:rPr>
      <w:rFonts w:ascii="Tahoma" w:hAnsi="Tahoma"/>
      <w:b/>
      <w:bCs/>
      <w:sz w:val="20"/>
      <w:szCs w:val="20"/>
      <w:lang w:val="es-ES_tradnl" w:eastAsia="es-ES_tradnl"/>
    </w:rPr>
  </w:style>
  <w:style w:type="paragraph" w:customStyle="1" w:styleId="xl30">
    <w:name w:val="xl30"/>
    <w:basedOn w:val="Normal"/>
    <w:rPr>
      <w:rFonts w:ascii="Tahoma" w:hAnsi="Tahoma"/>
      <w:sz w:val="20"/>
      <w:szCs w:val="20"/>
      <w:lang w:val="es-ES_tradnl" w:eastAsia="es-ES_tradnl"/>
    </w:rPr>
  </w:style>
  <w:style w:type="paragraph" w:customStyle="1" w:styleId="xl31">
    <w:name w:val="xl31"/>
    <w:basedOn w:val="Normal"/>
    <w:pPr>
      <w:jc w:val="center"/>
    </w:pPr>
    <w:rPr>
      <w:rFonts w:ascii="Tahoma" w:hAnsi="Tahoma"/>
      <w:sz w:val="20"/>
      <w:szCs w:val="20"/>
      <w:lang w:val="es-ES_tradnl" w:eastAsia="es-ES_tradnl"/>
    </w:rPr>
  </w:style>
  <w:style w:type="paragraph" w:customStyle="1" w:styleId="xl32">
    <w:name w:val="xl32"/>
    <w:basedOn w:val="Normal"/>
    <w:rPr>
      <w:rFonts w:ascii="Tahoma" w:hAnsi="Tahoma"/>
      <w:sz w:val="20"/>
      <w:szCs w:val="20"/>
      <w:lang w:val="es-ES_tradnl" w:eastAsia="es-ES_tradnl"/>
    </w:rPr>
  </w:style>
  <w:style w:type="paragraph" w:customStyle="1" w:styleId="xl33">
    <w:name w:val="xl33"/>
    <w:basedOn w:val="Normal"/>
    <w:rPr>
      <w:rFonts w:ascii="Tahoma" w:hAnsi="Tahoma"/>
      <w:b/>
      <w:bCs/>
      <w:sz w:val="20"/>
      <w:szCs w:val="20"/>
      <w:lang w:val="es-ES_tradnl" w:eastAsia="es-ES_tradnl"/>
    </w:rPr>
  </w:style>
  <w:style w:type="paragraph" w:customStyle="1" w:styleId="xl34">
    <w:name w:val="xl34"/>
    <w:basedOn w:val="Normal"/>
    <w:rPr>
      <w:rFonts w:ascii="Tahoma" w:hAnsi="Tahoma"/>
      <w:sz w:val="20"/>
      <w:szCs w:val="20"/>
      <w:lang w:val="es-ES_tradnl" w:eastAsia="es-ES_tradnl"/>
    </w:rPr>
  </w:style>
  <w:style w:type="paragraph" w:customStyle="1" w:styleId="xl35">
    <w:name w:val="xl35"/>
    <w:basedOn w:val="Normal"/>
    <w:pPr>
      <w:jc w:val="center"/>
    </w:pPr>
    <w:rPr>
      <w:rFonts w:ascii="Tahoma" w:hAnsi="Tahoma"/>
      <w:sz w:val="20"/>
      <w:szCs w:val="20"/>
      <w:lang w:val="es-ES_tradnl" w:eastAsia="es-ES_tradnl"/>
    </w:rPr>
  </w:style>
  <w:style w:type="paragraph" w:customStyle="1" w:styleId="xl36">
    <w:name w:val="xl36"/>
    <w:basedOn w:val="Normal"/>
    <w:pPr>
      <w:pBdr>
        <w:top w:val="single" w:sz="8" w:space="0" w:color="000000"/>
        <w:left w:val="single" w:sz="8" w:space="0" w:color="000000"/>
        <w:bottom w:val="single" w:sz="8" w:space="0" w:color="000000"/>
        <w:right w:val="single" w:sz="8" w:space="0" w:color="000000"/>
      </w:pBdr>
      <w:shd w:val="clear" w:color="auto" w:fill="C0C0C0"/>
    </w:pPr>
    <w:rPr>
      <w:rFonts w:ascii="Tahoma" w:hAnsi="Tahoma"/>
      <w:sz w:val="20"/>
      <w:szCs w:val="20"/>
      <w:lang w:val="es-ES_tradnl" w:eastAsia="es-ES_tradnl"/>
    </w:rPr>
  </w:style>
  <w:style w:type="paragraph" w:customStyle="1" w:styleId="xl37">
    <w:name w:val="xl37"/>
    <w:basedOn w:val="Normal"/>
    <w:pPr>
      <w:pBdr>
        <w:top w:val="single" w:sz="8" w:space="0" w:color="000000"/>
        <w:left w:val="single" w:sz="8" w:space="0" w:color="000000"/>
        <w:bottom w:val="single" w:sz="8" w:space="0" w:color="000000"/>
        <w:right w:val="single" w:sz="8" w:space="0" w:color="000000"/>
      </w:pBdr>
      <w:shd w:val="clear" w:color="auto" w:fill="C0C0C0"/>
    </w:pPr>
    <w:rPr>
      <w:rFonts w:ascii="Tahoma" w:hAnsi="Tahoma"/>
      <w:sz w:val="20"/>
      <w:szCs w:val="20"/>
      <w:lang w:val="es-ES_tradnl" w:eastAsia="es-ES_tradnl"/>
    </w:rPr>
  </w:style>
  <w:style w:type="paragraph" w:customStyle="1" w:styleId="xl38">
    <w:name w:val="xl38"/>
    <w:basedOn w:val="Normal"/>
    <w:pPr>
      <w:pBdr>
        <w:top w:val="single" w:sz="8" w:space="0" w:color="000000"/>
        <w:left w:val="single" w:sz="8" w:space="0" w:color="000000"/>
        <w:bottom w:val="single" w:sz="8" w:space="0" w:color="000000"/>
        <w:right w:val="single" w:sz="8" w:space="0" w:color="000000"/>
      </w:pBdr>
      <w:shd w:val="clear" w:color="auto" w:fill="C0C0C0"/>
    </w:pPr>
    <w:rPr>
      <w:rFonts w:ascii="Tahoma" w:hAnsi="Tahoma"/>
      <w:sz w:val="20"/>
      <w:szCs w:val="20"/>
      <w:lang w:val="es-ES_tradnl" w:eastAsia="es-ES_tradnl"/>
    </w:rPr>
  </w:style>
  <w:style w:type="paragraph" w:customStyle="1" w:styleId="xl39">
    <w:name w:val="xl39"/>
    <w:basedOn w:val="Normal"/>
    <w:pPr>
      <w:shd w:val="clear" w:color="auto" w:fill="C0C0C0"/>
    </w:pPr>
    <w:rPr>
      <w:rFonts w:ascii="Tahoma" w:hAnsi="Tahoma"/>
      <w:b/>
      <w:bCs/>
      <w:lang w:val="es-ES_tradnl" w:eastAsia="es-ES_tradnl"/>
    </w:rPr>
  </w:style>
  <w:style w:type="paragraph" w:customStyle="1" w:styleId="xl40">
    <w:name w:val="xl40"/>
    <w:basedOn w:val="Normal"/>
    <w:pPr>
      <w:shd w:val="clear" w:color="auto" w:fill="C0C0C0"/>
    </w:pPr>
    <w:rPr>
      <w:rFonts w:ascii="Tahoma" w:hAnsi="Tahoma"/>
      <w:b/>
      <w:bCs/>
      <w:lang w:val="es-ES_tradnl" w:eastAsia="es-ES_tradnl"/>
    </w:rPr>
  </w:style>
  <w:style w:type="paragraph" w:customStyle="1" w:styleId="xl41">
    <w:name w:val="xl41"/>
    <w:basedOn w:val="Normal"/>
    <w:pPr>
      <w:shd w:val="clear" w:color="auto" w:fill="C0C0C0"/>
    </w:pPr>
    <w:rPr>
      <w:rFonts w:ascii="Tahoma" w:hAnsi="Tahoma"/>
      <w:sz w:val="20"/>
      <w:szCs w:val="20"/>
      <w:lang w:val="es-ES_tradnl" w:eastAsia="es-ES_tradnl"/>
    </w:rPr>
  </w:style>
  <w:style w:type="paragraph" w:customStyle="1" w:styleId="xl42">
    <w:name w:val="xl42"/>
    <w:basedOn w:val="Normal"/>
    <w:pPr>
      <w:shd w:val="clear" w:color="auto" w:fill="C0C0C0"/>
      <w:jc w:val="center"/>
    </w:pPr>
    <w:rPr>
      <w:rFonts w:ascii="Tahoma" w:hAnsi="Tahoma"/>
      <w:b/>
      <w:bCs/>
      <w:lang w:val="es-ES_tradnl" w:eastAsia="es-ES_tradnl"/>
    </w:rPr>
  </w:style>
  <w:style w:type="paragraph" w:customStyle="1" w:styleId="xl43">
    <w:name w:val="xl43"/>
    <w:basedOn w:val="Normal"/>
    <w:rPr>
      <w:rFonts w:ascii="Tahoma" w:hAnsi="Tahoma"/>
      <w:sz w:val="20"/>
      <w:szCs w:val="20"/>
      <w:lang w:val="es-ES_tradnl" w:eastAsia="es-ES_tradnl"/>
    </w:rPr>
  </w:style>
  <w:style w:type="paragraph" w:customStyle="1" w:styleId="xl44">
    <w:name w:val="xl44"/>
    <w:basedOn w:val="Normal"/>
    <w:rPr>
      <w:rFonts w:ascii="Tahoma" w:hAnsi="Tahoma"/>
      <w:sz w:val="20"/>
      <w:szCs w:val="20"/>
      <w:lang w:val="es-ES_tradnl" w:eastAsia="es-ES_tradnl"/>
    </w:rPr>
  </w:style>
  <w:style w:type="paragraph" w:customStyle="1" w:styleId="xl45">
    <w:name w:val="xl45"/>
    <w:basedOn w:val="Normal"/>
    <w:rPr>
      <w:rFonts w:ascii="Tahoma" w:hAnsi="Tahoma"/>
      <w:b/>
      <w:bCs/>
      <w:sz w:val="20"/>
      <w:szCs w:val="20"/>
      <w:lang w:val="es-ES_tradnl" w:eastAsia="es-ES_tradnl"/>
    </w:rPr>
  </w:style>
  <w:style w:type="paragraph" w:customStyle="1" w:styleId="xl46">
    <w:name w:val="xl46"/>
    <w:basedOn w:val="Normal"/>
    <w:pPr>
      <w:jc w:val="right"/>
    </w:pPr>
    <w:rPr>
      <w:rFonts w:ascii="Tahoma" w:hAnsi="Tahoma"/>
      <w:sz w:val="20"/>
      <w:szCs w:val="20"/>
      <w:lang w:val="es-ES_tradnl" w:eastAsia="es-ES_tradnl"/>
    </w:rPr>
  </w:style>
  <w:style w:type="paragraph" w:customStyle="1" w:styleId="xl47">
    <w:name w:val="xl47"/>
    <w:basedOn w:val="Normal"/>
    <w:pPr>
      <w:jc w:val="center"/>
    </w:pPr>
    <w:rPr>
      <w:rFonts w:ascii="Tahoma" w:hAnsi="Tahoma"/>
      <w:sz w:val="20"/>
      <w:szCs w:val="20"/>
      <w:lang w:val="es-ES_tradnl" w:eastAsia="es-ES_tradnl"/>
    </w:rPr>
  </w:style>
  <w:style w:type="paragraph" w:customStyle="1" w:styleId="xl48">
    <w:name w:val="xl48"/>
    <w:basedOn w:val="Normal"/>
    <w:rPr>
      <w:rFonts w:ascii="Tahoma" w:hAnsi="Tahoma"/>
      <w:sz w:val="22"/>
      <w:szCs w:val="22"/>
      <w:lang w:val="es-ES_tradnl" w:eastAsia="es-ES_tradnl"/>
    </w:rPr>
  </w:style>
  <w:style w:type="paragraph" w:customStyle="1" w:styleId="xl49">
    <w:name w:val="xl49"/>
    <w:basedOn w:val="Normal"/>
    <w:pPr>
      <w:jc w:val="right"/>
    </w:pPr>
    <w:rPr>
      <w:rFonts w:ascii="Tahoma" w:hAnsi="Tahoma"/>
      <w:b/>
      <w:bCs/>
      <w:sz w:val="20"/>
      <w:szCs w:val="20"/>
      <w:lang w:val="es-ES_tradnl" w:eastAsia="es-ES_tradnl"/>
    </w:rPr>
  </w:style>
  <w:style w:type="paragraph" w:customStyle="1" w:styleId="xl50">
    <w:name w:val="xl50"/>
    <w:basedOn w:val="Normal"/>
    <w:pPr>
      <w:jc w:val="right"/>
    </w:pPr>
    <w:rPr>
      <w:rFonts w:ascii="Tahoma" w:hAnsi="Tahoma"/>
      <w:b/>
      <w:bCs/>
      <w:sz w:val="22"/>
      <w:szCs w:val="22"/>
      <w:lang w:val="es-ES_tradnl" w:eastAsia="es-ES_tradnl"/>
    </w:rPr>
  </w:style>
  <w:style w:type="paragraph" w:customStyle="1" w:styleId="xl51">
    <w:name w:val="xl51"/>
    <w:basedOn w:val="Normal"/>
    <w:pPr>
      <w:pBdr>
        <w:top w:val="single" w:sz="8" w:space="0" w:color="000000"/>
        <w:left w:val="single" w:sz="8" w:space="0" w:color="000000"/>
        <w:bottom w:val="single" w:sz="8" w:space="0" w:color="000000"/>
        <w:right w:val="single" w:sz="8" w:space="0" w:color="000000"/>
      </w:pBdr>
    </w:pPr>
    <w:rPr>
      <w:rFonts w:ascii="Tahoma" w:hAnsi="Tahoma"/>
      <w:b/>
      <w:bCs/>
      <w:sz w:val="22"/>
      <w:szCs w:val="22"/>
      <w:lang w:val="es-ES_tradnl" w:eastAsia="es-ES_tradnl"/>
    </w:rPr>
  </w:style>
  <w:style w:type="paragraph" w:customStyle="1" w:styleId="xl52">
    <w:name w:val="xl52"/>
    <w:basedOn w:val="Normal"/>
    <w:rPr>
      <w:rFonts w:ascii="Tahoma" w:hAnsi="Tahoma"/>
      <w:sz w:val="20"/>
      <w:szCs w:val="20"/>
      <w:lang w:val="es-ES_tradnl" w:eastAsia="es-ES_tradnl"/>
    </w:rPr>
  </w:style>
  <w:style w:type="paragraph" w:customStyle="1" w:styleId="xl53">
    <w:name w:val="xl53"/>
    <w:basedOn w:val="Normal"/>
    <w:rPr>
      <w:rFonts w:ascii="Tahoma" w:hAnsi="Tahoma"/>
      <w:sz w:val="20"/>
      <w:szCs w:val="20"/>
      <w:lang w:val="es-ES_tradnl" w:eastAsia="es-ES_tradnl"/>
    </w:rPr>
  </w:style>
  <w:style w:type="paragraph" w:customStyle="1" w:styleId="xl54">
    <w:name w:val="xl54"/>
    <w:basedOn w:val="Normal"/>
    <w:pPr>
      <w:jc w:val="right"/>
    </w:pPr>
    <w:rPr>
      <w:rFonts w:ascii="Tahoma" w:hAnsi="Tahoma"/>
      <w:sz w:val="20"/>
      <w:szCs w:val="20"/>
      <w:lang w:val="es-ES_tradnl" w:eastAsia="es-ES_tradnl"/>
    </w:rPr>
  </w:style>
  <w:style w:type="paragraph" w:customStyle="1" w:styleId="xl55">
    <w:name w:val="xl55"/>
    <w:basedOn w:val="Normal"/>
    <w:rPr>
      <w:rFonts w:ascii="Tahoma" w:hAnsi="Tahoma"/>
      <w:sz w:val="18"/>
      <w:szCs w:val="18"/>
      <w:lang w:val="es-ES_tradnl" w:eastAsia="es-ES_tradnl"/>
    </w:rPr>
  </w:style>
  <w:style w:type="paragraph" w:styleId="Textoindependiente">
    <w:name w:val="Body Text"/>
    <w:basedOn w:val="Normal"/>
    <w:pPr>
      <w:jc w:val="both"/>
    </w:pPr>
    <w:rPr>
      <w:b/>
      <w:szCs w:val="20"/>
      <w:lang w:val="es-ES_tradnl" w:eastAsia="en-GB"/>
    </w:rPr>
  </w:style>
  <w:style w:type="character" w:customStyle="1" w:styleId="TextoindependienteCar">
    <w:name w:val="Texto independiente Car"/>
    <w:basedOn w:val="Fuentedeprrafopredeter"/>
    <w:rPr>
      <w:b/>
      <w:sz w:val="24"/>
      <w:lang w:eastAsia="en-GB"/>
    </w:rPr>
  </w:style>
  <w:style w:type="paragraph" w:styleId="Prrafodelista">
    <w:name w:val="List Paragraph"/>
    <w:basedOn w:val="Normal"/>
    <w:pPr>
      <w:ind w:left="720"/>
      <w:contextualSpacing/>
    </w:pPr>
    <w:rPr>
      <w:szCs w:val="20"/>
      <w:lang w:eastAsia="en-GB"/>
    </w:rPr>
  </w:style>
  <w:style w:type="character" w:customStyle="1" w:styleId="PiedepginaCar">
    <w:name w:val="Pie de página Car"/>
    <w:basedOn w:val="Fuentedeprrafopredeter"/>
    <w:rPr>
      <w:sz w:val="24"/>
      <w:szCs w:val="24"/>
      <w:lang w:val="es-ES" w:eastAsia="es-ES"/>
    </w:rPr>
  </w:style>
  <w:style w:type="character" w:styleId="Mencinsinresolver">
    <w:name w:val="Unresolved Mention"/>
    <w:basedOn w:val="Fuentedeprrafopredeter"/>
    <w:rPr>
      <w:color w:val="605E5C"/>
      <w:shd w:val="clear" w:color="auto" w:fill="E1DFDD"/>
    </w:rPr>
  </w:style>
  <w:style w:type="paragraph" w:styleId="Textonotapie">
    <w:name w:val="footnote text"/>
    <w:basedOn w:val="Normal"/>
    <w:rPr>
      <w:sz w:val="20"/>
      <w:szCs w:val="20"/>
    </w:rPr>
  </w:style>
  <w:style w:type="character" w:customStyle="1" w:styleId="TextonotapieCar">
    <w:name w:val="Texto nota pie Car"/>
    <w:basedOn w:val="Fuentedeprrafopredeter"/>
    <w:rPr>
      <w:lang w:val="es-ES" w:eastAsia="es-ES"/>
    </w:rPr>
  </w:style>
  <w:style w:type="character" w:styleId="Refdenotaalpie">
    <w:name w:val="footnote reference"/>
    <w:basedOn w:val="Fuentedeprrafopredeter"/>
    <w:rPr>
      <w:position w:val="0"/>
      <w:vertAlign w:val="superscript"/>
    </w:rPr>
  </w:style>
  <w:style w:type="character" w:styleId="Refdecomentario">
    <w:name w:val="annotation reference"/>
    <w:basedOn w:val="Fuentedeprrafopredeter"/>
    <w:uiPriority w:val="99"/>
    <w:semiHidden/>
    <w:unhideWhenUsed/>
    <w:rsid w:val="00171356"/>
    <w:rPr>
      <w:sz w:val="16"/>
      <w:szCs w:val="16"/>
    </w:rPr>
  </w:style>
  <w:style w:type="paragraph" w:styleId="Textocomentario">
    <w:name w:val="annotation text"/>
    <w:basedOn w:val="Normal"/>
    <w:link w:val="TextocomentarioCar"/>
    <w:uiPriority w:val="99"/>
    <w:semiHidden/>
    <w:unhideWhenUsed/>
    <w:rsid w:val="00171356"/>
    <w:rPr>
      <w:sz w:val="20"/>
      <w:szCs w:val="20"/>
    </w:rPr>
  </w:style>
  <w:style w:type="character" w:customStyle="1" w:styleId="TextocomentarioCar">
    <w:name w:val="Texto comentario Car"/>
    <w:basedOn w:val="Fuentedeprrafopredeter"/>
    <w:link w:val="Textocomentario"/>
    <w:uiPriority w:val="99"/>
    <w:semiHidden/>
    <w:rsid w:val="00171356"/>
    <w:rPr>
      <w:lang w:val="es-ES" w:eastAsia="es-ES"/>
    </w:rPr>
  </w:style>
  <w:style w:type="paragraph" w:styleId="Asuntodelcomentario">
    <w:name w:val="annotation subject"/>
    <w:basedOn w:val="Textocomentario"/>
    <w:next w:val="Textocomentario"/>
    <w:link w:val="AsuntodelcomentarioCar"/>
    <w:uiPriority w:val="99"/>
    <w:semiHidden/>
    <w:unhideWhenUsed/>
    <w:rsid w:val="00171356"/>
    <w:rPr>
      <w:b/>
      <w:bCs/>
    </w:rPr>
  </w:style>
  <w:style w:type="character" w:customStyle="1" w:styleId="AsuntodelcomentarioCar">
    <w:name w:val="Asunto del comentario Car"/>
    <w:basedOn w:val="TextocomentarioCar"/>
    <w:link w:val="Asuntodelcomentario"/>
    <w:uiPriority w:val="99"/>
    <w:semiHidden/>
    <w:rsid w:val="0017135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186717">
      <w:bodyDiv w:val="1"/>
      <w:marLeft w:val="0"/>
      <w:marRight w:val="0"/>
      <w:marTop w:val="0"/>
      <w:marBottom w:val="0"/>
      <w:divBdr>
        <w:top w:val="none" w:sz="0" w:space="0" w:color="auto"/>
        <w:left w:val="none" w:sz="0" w:space="0" w:color="auto"/>
        <w:bottom w:val="none" w:sz="0" w:space="0" w:color="auto"/>
        <w:right w:val="none" w:sz="0" w:space="0" w:color="auto"/>
      </w:divBdr>
    </w:div>
    <w:div w:id="785537382">
      <w:bodyDiv w:val="1"/>
      <w:marLeft w:val="0"/>
      <w:marRight w:val="0"/>
      <w:marTop w:val="0"/>
      <w:marBottom w:val="0"/>
      <w:divBdr>
        <w:top w:val="none" w:sz="0" w:space="0" w:color="auto"/>
        <w:left w:val="none" w:sz="0" w:space="0" w:color="auto"/>
        <w:bottom w:val="none" w:sz="0" w:space="0" w:color="auto"/>
        <w:right w:val="none" w:sz="0" w:space="0" w:color="auto"/>
      </w:divBdr>
    </w:div>
    <w:div w:id="127791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tor@ulpg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422</Words>
  <Characters>2325</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to</dc:title>
  <dc:subject/>
  <dc:creator>Administrador</dc:creator>
  <dc:description/>
  <cp:lastModifiedBy>Beatriz Fonticiella Hernández</cp:lastModifiedBy>
  <cp:revision>11</cp:revision>
  <cp:lastPrinted>2021-04-20T09:58:00Z</cp:lastPrinted>
  <dcterms:created xsi:type="dcterms:W3CDTF">2024-02-07T11:48:00Z</dcterms:created>
  <dcterms:modified xsi:type="dcterms:W3CDTF">2025-07-07T12:41:00Z</dcterms:modified>
</cp:coreProperties>
</file>