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880B" w14:textId="77777777" w:rsidR="00945E29" w:rsidRDefault="00000000"/>
    <w:p w14:paraId="06451745" w14:textId="62367D4E" w:rsidR="00B9542D" w:rsidRDefault="00B9542D" w:rsidP="00B9542D">
      <w:pPr>
        <w:pStyle w:val="Ttulo1"/>
        <w:tabs>
          <w:tab w:val="left" w:pos="734"/>
          <w:tab w:val="left" w:pos="1443"/>
          <w:tab w:val="left" w:pos="1795"/>
          <w:tab w:val="left" w:pos="2154"/>
          <w:tab w:val="left" w:pos="2454"/>
          <w:tab w:val="left" w:pos="2698"/>
          <w:tab w:val="left" w:pos="3810"/>
          <w:tab w:val="left" w:pos="4610"/>
          <w:tab w:val="left" w:pos="4642"/>
          <w:tab w:val="left" w:pos="5144"/>
          <w:tab w:val="left" w:pos="5174"/>
          <w:tab w:val="left" w:pos="6895"/>
          <w:tab w:val="left" w:pos="7036"/>
          <w:tab w:val="left" w:pos="7438"/>
          <w:tab w:val="left" w:pos="8572"/>
        </w:tabs>
        <w:spacing w:before="76" w:after="280"/>
        <w:ind w:right="116"/>
        <w:jc w:val="both"/>
        <w:rPr>
          <w:rFonts w:asciiTheme="minorHAnsi" w:hAnsiTheme="minorHAnsi" w:cstheme="minorHAnsi"/>
          <w:bCs w:val="0"/>
          <w:sz w:val="22"/>
          <w:szCs w:val="22"/>
        </w:rPr>
      </w:pPr>
      <w:r w:rsidRPr="00B9542D">
        <w:rPr>
          <w:rFonts w:asciiTheme="minorHAnsi" w:hAnsiTheme="minorHAnsi" w:cstheme="minorHAnsi"/>
          <w:bCs w:val="0"/>
          <w:sz w:val="22"/>
          <w:szCs w:val="22"/>
        </w:rPr>
        <w:t>ACUERDO DEL</w:t>
      </w:r>
      <w:r>
        <w:rPr>
          <w:rFonts w:asciiTheme="minorHAnsi" w:hAnsiTheme="minorHAnsi" w:cstheme="minorHAnsi"/>
          <w:bCs w:val="0"/>
          <w:sz w:val="22"/>
          <w:szCs w:val="22"/>
        </w:rPr>
        <w:t xml:space="preserve"> </w:t>
      </w:r>
      <w:r w:rsidRPr="00B9542D">
        <w:rPr>
          <w:rFonts w:asciiTheme="minorHAnsi" w:hAnsiTheme="minorHAnsi" w:cstheme="minorHAnsi"/>
          <w:bCs w:val="0"/>
          <w:sz w:val="22"/>
          <w:szCs w:val="22"/>
        </w:rPr>
        <w:t>CONSEJO DE GOBIERNO, POR EL QUE SE MODIFICA EL</w:t>
      </w:r>
      <w:r w:rsidR="000C1A0B">
        <w:t xml:space="preserve"> </w:t>
      </w:r>
      <w:r w:rsidRPr="0041582A">
        <w:rPr>
          <w:rFonts w:asciiTheme="minorHAnsi" w:hAnsiTheme="minorHAnsi" w:cstheme="minorHAnsi"/>
          <w:bCs w:val="0"/>
          <w:sz w:val="22"/>
          <w:szCs w:val="22"/>
        </w:rPr>
        <w:t xml:space="preserve">REGLAMENTO 9/2022, PARA LA COBERTURA DE NECESIDADES DOCENTES SOBREVENIDAS Y LA CONTRATACIÓN DE PROFESORADO SUSTITUTO </w:t>
      </w:r>
      <w:r w:rsidRPr="00B9542D">
        <w:rPr>
          <w:rFonts w:asciiTheme="minorHAnsi" w:hAnsiTheme="minorHAnsi" w:cstheme="minorHAnsi"/>
          <w:bCs w:val="0"/>
          <w:sz w:val="22"/>
          <w:szCs w:val="22"/>
        </w:rPr>
        <w:t>DE LA UNIVERSIDAD</w:t>
      </w:r>
      <w:r>
        <w:rPr>
          <w:rFonts w:asciiTheme="minorHAnsi" w:hAnsiTheme="minorHAnsi" w:cstheme="minorHAnsi"/>
          <w:bCs w:val="0"/>
          <w:sz w:val="22"/>
          <w:szCs w:val="22"/>
        </w:rPr>
        <w:t xml:space="preserve"> D</w:t>
      </w:r>
      <w:r w:rsidRPr="00B9542D">
        <w:rPr>
          <w:rFonts w:asciiTheme="minorHAnsi" w:hAnsiTheme="minorHAnsi" w:cstheme="minorHAnsi"/>
          <w:bCs w:val="0"/>
          <w:sz w:val="22"/>
          <w:szCs w:val="22"/>
        </w:rPr>
        <w:t>E LAS PA</w:t>
      </w:r>
      <w:r>
        <w:rPr>
          <w:rFonts w:asciiTheme="minorHAnsi" w:hAnsiTheme="minorHAnsi" w:cstheme="minorHAnsi"/>
          <w:bCs w:val="0"/>
          <w:sz w:val="22"/>
          <w:szCs w:val="22"/>
        </w:rPr>
        <w:t>L</w:t>
      </w:r>
      <w:r w:rsidRPr="00B9542D">
        <w:rPr>
          <w:rFonts w:asciiTheme="minorHAnsi" w:hAnsiTheme="minorHAnsi" w:cstheme="minorHAnsi"/>
          <w:bCs w:val="0"/>
          <w:sz w:val="22"/>
          <w:szCs w:val="22"/>
        </w:rPr>
        <w:t>MAS DE GRAN CANAR</w:t>
      </w:r>
      <w:r>
        <w:rPr>
          <w:rFonts w:asciiTheme="minorHAnsi" w:hAnsiTheme="minorHAnsi" w:cstheme="minorHAnsi"/>
          <w:bCs w:val="0"/>
          <w:sz w:val="22"/>
          <w:szCs w:val="22"/>
        </w:rPr>
        <w:t>I</w:t>
      </w:r>
      <w:r w:rsidRPr="00B9542D">
        <w:rPr>
          <w:rFonts w:asciiTheme="minorHAnsi" w:hAnsiTheme="minorHAnsi" w:cstheme="minorHAnsi"/>
          <w:bCs w:val="0"/>
          <w:sz w:val="22"/>
          <w:szCs w:val="22"/>
        </w:rPr>
        <w:t>A</w:t>
      </w:r>
      <w:r>
        <w:rPr>
          <w:rFonts w:asciiTheme="minorHAnsi" w:hAnsiTheme="minorHAnsi" w:cstheme="minorHAnsi"/>
          <w:bCs w:val="0"/>
          <w:sz w:val="22"/>
          <w:szCs w:val="22"/>
        </w:rPr>
        <w:t>.</w:t>
      </w:r>
    </w:p>
    <w:p w14:paraId="239A5C8E" w14:textId="77777777" w:rsidR="00B9542D" w:rsidRDefault="00B9542D" w:rsidP="00B9542D">
      <w:pPr>
        <w:spacing w:after="0"/>
        <w:jc w:val="both"/>
        <w:rPr>
          <w:rFonts w:eastAsia="Calibri" w:cstheme="minorHAnsi"/>
          <w:bCs/>
        </w:rPr>
      </w:pPr>
      <w:r>
        <w:rPr>
          <w:rFonts w:eastAsia="Calibri" w:cstheme="minorHAnsi"/>
        </w:rPr>
        <w:t xml:space="preserve">El pasado 10 de junio de 2022 se aprobó por el Consejo de Gobierno el </w:t>
      </w:r>
      <w:r w:rsidR="00141B86">
        <w:rPr>
          <w:rFonts w:cstheme="minorHAnsi"/>
          <w:bCs/>
        </w:rPr>
        <w:t>R</w:t>
      </w:r>
      <w:r w:rsidR="00141B86" w:rsidRPr="0041582A">
        <w:rPr>
          <w:rFonts w:cstheme="minorHAnsi"/>
          <w:bCs/>
        </w:rPr>
        <w:t xml:space="preserve">eglamento </w:t>
      </w:r>
      <w:r>
        <w:rPr>
          <w:rFonts w:eastAsia="Calibri" w:cstheme="minorHAnsi"/>
        </w:rPr>
        <w:t xml:space="preserve">para la cobertura de </w:t>
      </w:r>
      <w:r w:rsidR="00141B86" w:rsidRPr="0041582A">
        <w:rPr>
          <w:rFonts w:cstheme="minorHAnsi"/>
          <w:bCs/>
        </w:rPr>
        <w:t xml:space="preserve">necesidades docentes sobrevenidas y la contratación de profesorado sustituto </w:t>
      </w:r>
      <w:r w:rsidR="00141B86">
        <w:rPr>
          <w:rFonts w:cstheme="minorHAnsi"/>
          <w:bCs/>
        </w:rPr>
        <w:t>de la U</w:t>
      </w:r>
      <w:r w:rsidR="00141B86" w:rsidRPr="00B9542D">
        <w:rPr>
          <w:rFonts w:cstheme="minorHAnsi"/>
          <w:bCs/>
        </w:rPr>
        <w:t>niversidad</w:t>
      </w:r>
      <w:r>
        <w:rPr>
          <w:rFonts w:cstheme="minorHAnsi"/>
          <w:bCs/>
        </w:rPr>
        <w:t xml:space="preserve">. </w:t>
      </w:r>
      <w:r w:rsidRPr="00B9542D">
        <w:rPr>
          <w:rFonts w:eastAsia="Calibri" w:cstheme="minorHAnsi"/>
        </w:rPr>
        <w:t>La experiencia resultante</w:t>
      </w:r>
      <w:r>
        <w:rPr>
          <w:rFonts w:eastAsia="Calibri" w:cstheme="minorHAnsi"/>
        </w:rPr>
        <w:t xml:space="preserve"> de</w:t>
      </w:r>
      <w:r w:rsidRPr="00B9542D">
        <w:rPr>
          <w:rFonts w:eastAsia="Calibri" w:cstheme="minorHAnsi"/>
        </w:rPr>
        <w:t xml:space="preserve"> la primera convocatoria para la provisión de bolsas de sustitución para la contratación de profesorado sustituto en régimen de derecho laboral</w:t>
      </w:r>
      <w:r>
        <w:rPr>
          <w:rFonts w:eastAsia="Calibri" w:cstheme="minorHAnsi"/>
        </w:rPr>
        <w:t>,</w:t>
      </w:r>
      <w:r w:rsidRPr="00B9542D">
        <w:rPr>
          <w:rFonts w:eastAsia="Calibri" w:cstheme="minorHAnsi"/>
        </w:rPr>
        <w:t xml:space="preserve"> ha demostrado </w:t>
      </w:r>
      <w:r w:rsidRPr="00B9542D">
        <w:rPr>
          <w:rFonts w:eastAsia="Calibri" w:cstheme="minorHAnsi"/>
          <w:bCs/>
        </w:rPr>
        <w:t xml:space="preserve">que exigir una </w:t>
      </w:r>
      <w:r w:rsidR="005B2D25">
        <w:rPr>
          <w:rFonts w:eastAsia="Calibri" w:cstheme="minorHAnsi"/>
          <w:bCs/>
        </w:rPr>
        <w:t>puntuación</w:t>
      </w:r>
      <w:r w:rsidRPr="00B9542D">
        <w:rPr>
          <w:rFonts w:eastAsia="Calibri" w:cstheme="minorHAnsi"/>
          <w:bCs/>
        </w:rPr>
        <w:t xml:space="preserve"> mínima de 50 puntos para la conformación de </w:t>
      </w:r>
      <w:r>
        <w:rPr>
          <w:rFonts w:eastAsia="Calibri" w:cstheme="minorHAnsi"/>
          <w:bCs/>
        </w:rPr>
        <w:t xml:space="preserve">las </w:t>
      </w:r>
      <w:r w:rsidRPr="00B9542D">
        <w:rPr>
          <w:rFonts w:eastAsia="Calibri" w:cstheme="minorHAnsi"/>
          <w:bCs/>
        </w:rPr>
        <w:t xml:space="preserve">bolsas </w:t>
      </w:r>
    </w:p>
    <w:p w14:paraId="73DD66AF" w14:textId="77777777" w:rsidR="00141B86" w:rsidRPr="00141B86" w:rsidRDefault="00141B86" w:rsidP="00141B86">
      <w:pPr>
        <w:spacing w:after="0"/>
        <w:jc w:val="both"/>
        <w:rPr>
          <w:rFonts w:eastAsia="Calibri" w:cstheme="minorHAnsi"/>
          <w:bCs/>
        </w:rPr>
      </w:pPr>
      <w:r w:rsidRPr="00141B86">
        <w:rPr>
          <w:rFonts w:eastAsia="Calibri" w:cstheme="minorHAnsi"/>
          <w:bCs/>
        </w:rPr>
        <w:t>ha resultado u</w:t>
      </w:r>
      <w:r w:rsidR="00B9542D" w:rsidRPr="00141B86">
        <w:rPr>
          <w:rFonts w:eastAsia="Calibri" w:cstheme="minorHAnsi"/>
          <w:bCs/>
        </w:rPr>
        <w:t>n error, por excesivo</w:t>
      </w:r>
      <w:r w:rsidRPr="00141B86">
        <w:rPr>
          <w:rFonts w:eastAsia="Calibri" w:cstheme="minorHAnsi"/>
          <w:bCs/>
        </w:rPr>
        <w:t>.</w:t>
      </w:r>
    </w:p>
    <w:p w14:paraId="0FB94322" w14:textId="77777777" w:rsidR="00141B86" w:rsidRPr="00141B86" w:rsidRDefault="00141B86" w:rsidP="00B9542D">
      <w:pPr>
        <w:spacing w:after="0"/>
        <w:ind w:firstLine="708"/>
        <w:jc w:val="both"/>
        <w:rPr>
          <w:rFonts w:eastAsia="Calibri" w:cstheme="minorHAnsi"/>
          <w:bCs/>
        </w:rPr>
      </w:pPr>
    </w:p>
    <w:p w14:paraId="5151370F" w14:textId="53CE6A31" w:rsidR="00B9542D" w:rsidRPr="00141B86" w:rsidRDefault="00141B86" w:rsidP="00141B86">
      <w:pPr>
        <w:spacing w:after="0"/>
        <w:jc w:val="both"/>
        <w:rPr>
          <w:rFonts w:eastAsia="Calibri" w:cstheme="minorHAnsi"/>
          <w:bCs/>
        </w:rPr>
      </w:pPr>
      <w:r w:rsidRPr="00141B86">
        <w:rPr>
          <w:rFonts w:eastAsia="Calibri" w:cstheme="minorHAnsi"/>
          <w:bCs/>
        </w:rPr>
        <w:t xml:space="preserve">En </w:t>
      </w:r>
      <w:r w:rsidR="005B2D25">
        <w:rPr>
          <w:rFonts w:eastAsia="Calibri" w:cstheme="minorHAnsi"/>
          <w:bCs/>
        </w:rPr>
        <w:t>este sentido</w:t>
      </w:r>
      <w:r w:rsidR="000C1A0B">
        <w:rPr>
          <w:rFonts w:eastAsia="Calibri" w:cstheme="minorHAnsi"/>
          <w:bCs/>
        </w:rPr>
        <w:t xml:space="preserve">, además de ser </w:t>
      </w:r>
      <w:r w:rsidRPr="00141B86">
        <w:rPr>
          <w:rFonts w:eastAsia="Calibri" w:cstheme="minorHAnsi"/>
          <w:bCs/>
        </w:rPr>
        <w:t xml:space="preserve">una </w:t>
      </w:r>
      <w:r w:rsidR="005B2D25">
        <w:rPr>
          <w:rFonts w:eastAsia="Calibri" w:cstheme="minorHAnsi"/>
          <w:bCs/>
        </w:rPr>
        <w:t>puntuación</w:t>
      </w:r>
      <w:r w:rsidR="005B2D25" w:rsidRPr="00B9542D">
        <w:rPr>
          <w:rFonts w:eastAsia="Calibri" w:cstheme="minorHAnsi"/>
          <w:bCs/>
        </w:rPr>
        <w:t xml:space="preserve"> </w:t>
      </w:r>
      <w:r w:rsidR="00B9542D" w:rsidRPr="00141B86">
        <w:rPr>
          <w:rFonts w:eastAsia="Calibri" w:cstheme="minorHAnsi"/>
          <w:bCs/>
        </w:rPr>
        <w:t>muy superior a</w:t>
      </w:r>
      <w:r w:rsidRPr="00141B86">
        <w:rPr>
          <w:rFonts w:eastAsia="Calibri" w:cstheme="minorHAnsi"/>
          <w:bCs/>
        </w:rPr>
        <w:t xml:space="preserve"> </w:t>
      </w:r>
      <w:r w:rsidR="00B9542D" w:rsidRPr="00141B86">
        <w:rPr>
          <w:rFonts w:eastAsia="Calibri" w:cstheme="minorHAnsi"/>
          <w:bCs/>
        </w:rPr>
        <w:t>l</w:t>
      </w:r>
      <w:r w:rsidRPr="00141B86">
        <w:rPr>
          <w:rFonts w:eastAsia="Calibri" w:cstheme="minorHAnsi"/>
          <w:bCs/>
        </w:rPr>
        <w:t>a</w:t>
      </w:r>
      <w:r w:rsidR="00B9542D" w:rsidRPr="00141B86">
        <w:rPr>
          <w:rFonts w:eastAsia="Calibri" w:cstheme="minorHAnsi"/>
          <w:bCs/>
        </w:rPr>
        <w:t xml:space="preserve"> exigid</w:t>
      </w:r>
      <w:r w:rsidR="005B2D25">
        <w:rPr>
          <w:rFonts w:eastAsia="Calibri" w:cstheme="minorHAnsi"/>
          <w:bCs/>
        </w:rPr>
        <w:t>a</w:t>
      </w:r>
      <w:r w:rsidR="00B9542D" w:rsidRPr="00141B86">
        <w:rPr>
          <w:rFonts w:eastAsia="Calibri" w:cstheme="minorHAnsi"/>
          <w:bCs/>
        </w:rPr>
        <w:t xml:space="preserve"> en</w:t>
      </w:r>
      <w:r w:rsidRPr="00141B86">
        <w:rPr>
          <w:rFonts w:eastAsia="Calibri" w:cstheme="minorHAnsi"/>
          <w:bCs/>
        </w:rPr>
        <w:t xml:space="preserve"> otro tipo de convocatorias, como las</w:t>
      </w:r>
      <w:r w:rsidR="000C1A0B">
        <w:rPr>
          <w:rFonts w:eastAsia="Calibri" w:cstheme="minorHAnsi"/>
          <w:bCs/>
        </w:rPr>
        <w:t xml:space="preserve"> de profesorado ayudante doctor</w:t>
      </w:r>
      <w:r w:rsidRPr="00141B86">
        <w:rPr>
          <w:rFonts w:eastAsia="Calibri" w:cstheme="minorHAnsi"/>
          <w:bCs/>
        </w:rPr>
        <w:t xml:space="preserve"> en las que la puntación mínima es de 28, lo cierto es que, además, </w:t>
      </w:r>
      <w:r w:rsidRPr="00141B86">
        <w:rPr>
          <w:rFonts w:eastAsia="Calibri" w:cstheme="minorHAnsi"/>
        </w:rPr>
        <w:t>en la primera y única convocatoria efectuada hasta la fecha, la gran mayoría de las personas concursantes no superan dicho umbral, lo que impide la conformación de estas bolsas y por ende la utilidad práctica de las mismas.</w:t>
      </w:r>
    </w:p>
    <w:p w14:paraId="33BA0DC5" w14:textId="77777777" w:rsidR="00B9542D" w:rsidRDefault="00B9542D" w:rsidP="00B9542D">
      <w:pPr>
        <w:spacing w:after="0"/>
        <w:jc w:val="both"/>
        <w:rPr>
          <w:rFonts w:eastAsia="Calibri" w:cstheme="minorHAnsi"/>
          <w:bCs/>
        </w:rPr>
      </w:pPr>
    </w:p>
    <w:p w14:paraId="03AF17CF" w14:textId="77777777" w:rsidR="00B22929" w:rsidRDefault="00141B86" w:rsidP="00E65B25">
      <w:pPr>
        <w:spacing w:after="0"/>
        <w:jc w:val="both"/>
        <w:rPr>
          <w:rFonts w:eastAsia="Calibri" w:cstheme="minorHAnsi"/>
          <w:bCs/>
        </w:rPr>
      </w:pPr>
      <w:r>
        <w:rPr>
          <w:rFonts w:eastAsia="Calibri" w:cstheme="minorHAnsi"/>
          <w:bCs/>
        </w:rPr>
        <w:t>A lo anterior se u</w:t>
      </w:r>
      <w:r w:rsidR="00E65B25">
        <w:rPr>
          <w:rFonts w:eastAsia="Calibri" w:cstheme="minorHAnsi"/>
          <w:bCs/>
        </w:rPr>
        <w:t>ne el carácter generalista de las bolsas, que se constituyen por área de conocimiento, lo que responde al objetivo de poder hacer frente</w:t>
      </w:r>
      <w:r w:rsidR="005B2D25">
        <w:rPr>
          <w:rFonts w:eastAsia="Calibri" w:cstheme="minorHAnsi"/>
          <w:bCs/>
        </w:rPr>
        <w:t xml:space="preserve"> con inmediatez</w:t>
      </w:r>
      <w:r w:rsidR="00E65B25">
        <w:rPr>
          <w:rFonts w:eastAsia="Calibri" w:cstheme="minorHAnsi"/>
          <w:bCs/>
        </w:rPr>
        <w:t xml:space="preserve"> a las </w:t>
      </w:r>
      <w:r w:rsidR="00E65B25" w:rsidRPr="00E65B25">
        <w:rPr>
          <w:rFonts w:eastAsia="Calibri" w:cstheme="minorHAnsi"/>
          <w:bCs/>
        </w:rPr>
        <w:t xml:space="preserve">necesidades sobrevenidas </w:t>
      </w:r>
      <w:r w:rsidR="00E65B25">
        <w:rPr>
          <w:rFonts w:eastAsia="Calibri" w:cstheme="minorHAnsi"/>
          <w:bCs/>
        </w:rPr>
        <w:t xml:space="preserve">derivadas de situaciones </w:t>
      </w:r>
      <w:r w:rsidR="00B22929">
        <w:rPr>
          <w:rFonts w:eastAsia="Calibri" w:cstheme="minorHAnsi"/>
          <w:bCs/>
        </w:rPr>
        <w:t>en las que concurran causas legalmente establecidas que permiten la sustitución de personas trabajadoras con derecho a reserva de su puesto de trabajo.</w:t>
      </w:r>
    </w:p>
    <w:p w14:paraId="6F31207C" w14:textId="77777777" w:rsidR="00BF4C0A" w:rsidRDefault="00BF4C0A" w:rsidP="00E65B25">
      <w:pPr>
        <w:spacing w:after="0"/>
        <w:jc w:val="both"/>
        <w:rPr>
          <w:rFonts w:eastAsia="Calibri" w:cstheme="minorHAnsi"/>
          <w:bCs/>
        </w:rPr>
      </w:pPr>
    </w:p>
    <w:p w14:paraId="4AB82F68" w14:textId="77777777" w:rsidR="00BF4C0A" w:rsidRDefault="00BF4C0A" w:rsidP="00E65B25">
      <w:pPr>
        <w:spacing w:after="0"/>
        <w:jc w:val="both"/>
        <w:rPr>
          <w:rFonts w:eastAsia="Calibri" w:cstheme="minorHAnsi"/>
          <w:bCs/>
        </w:rPr>
      </w:pPr>
      <w:r w:rsidRPr="00BF4C0A">
        <w:rPr>
          <w:rFonts w:eastAsia="Calibri" w:cstheme="minorHAnsi"/>
          <w:bCs/>
        </w:rPr>
        <w:t xml:space="preserve">Por ello, urge suprimir dicho criterio de calificación tanto ex nunc como </w:t>
      </w:r>
      <w:r w:rsidRPr="00BF4C0A">
        <w:rPr>
          <w:rFonts w:eastAsia="Calibri" w:cstheme="minorHAnsi"/>
          <w:bCs/>
          <w:i/>
        </w:rPr>
        <w:t xml:space="preserve">ex </w:t>
      </w:r>
      <w:proofErr w:type="spellStart"/>
      <w:r w:rsidRPr="00BF4C0A">
        <w:rPr>
          <w:rFonts w:eastAsia="Calibri" w:cstheme="minorHAnsi"/>
          <w:bCs/>
          <w:i/>
        </w:rPr>
        <w:t>tunc</w:t>
      </w:r>
      <w:proofErr w:type="spellEnd"/>
      <w:r w:rsidRPr="00BF4C0A">
        <w:rPr>
          <w:rFonts w:eastAsia="Calibri" w:cstheme="minorHAnsi"/>
          <w:bCs/>
        </w:rPr>
        <w:t>, en aras a la operatividad y utilidad práctica de este de bolsas de empleo creadas en la primera convocatoria como en las futuras.</w:t>
      </w:r>
    </w:p>
    <w:p w14:paraId="16FF7416" w14:textId="77777777" w:rsidR="00275857" w:rsidRDefault="00275857" w:rsidP="00E65B25">
      <w:pPr>
        <w:spacing w:after="0"/>
        <w:jc w:val="both"/>
        <w:rPr>
          <w:rFonts w:eastAsia="Calibri" w:cstheme="minorHAnsi"/>
          <w:bCs/>
        </w:rPr>
      </w:pPr>
    </w:p>
    <w:p w14:paraId="61153885" w14:textId="77777777" w:rsidR="00275857" w:rsidRDefault="00275857" w:rsidP="00E65B25">
      <w:pPr>
        <w:spacing w:after="0"/>
        <w:jc w:val="both"/>
        <w:rPr>
          <w:rFonts w:eastAsia="Calibri" w:cstheme="minorHAnsi"/>
          <w:bCs/>
        </w:rPr>
      </w:pPr>
      <w:r>
        <w:rPr>
          <w:rFonts w:eastAsia="Calibri" w:cstheme="minorHAnsi"/>
          <w:bCs/>
        </w:rPr>
        <w:t>Por último y fruto de esta reforma, procede que a la mayor brevedad se proceda a la realización de nueva convocatoria que permita actualizar las bolsas de sustitución, permitiendo la inclusión en las mismas de aquellos interesados que no se hayan presentado a la primera efectuada.</w:t>
      </w:r>
    </w:p>
    <w:p w14:paraId="06263FEE" w14:textId="77777777" w:rsidR="00E65B25" w:rsidRDefault="00E65B25" w:rsidP="00E65B25">
      <w:pPr>
        <w:spacing w:after="0"/>
        <w:jc w:val="both"/>
        <w:rPr>
          <w:rFonts w:eastAsia="Calibri" w:cstheme="minorHAnsi"/>
          <w:bCs/>
        </w:rPr>
      </w:pPr>
    </w:p>
    <w:p w14:paraId="046F395F" w14:textId="77777777" w:rsidR="00785908" w:rsidRDefault="00785908" w:rsidP="00B9542D">
      <w:pPr>
        <w:spacing w:after="0"/>
        <w:jc w:val="both"/>
        <w:rPr>
          <w:rFonts w:eastAsia="Calibri" w:cstheme="minorHAnsi"/>
          <w:bCs/>
        </w:rPr>
      </w:pPr>
      <w:r>
        <w:rPr>
          <w:rFonts w:eastAsia="Calibri" w:cstheme="minorHAnsi"/>
          <w:bCs/>
        </w:rPr>
        <w:t>En su virtud, el Consejo de Gobierno de la Uni</w:t>
      </w:r>
      <w:r w:rsidR="00202E9F">
        <w:rPr>
          <w:rFonts w:eastAsia="Calibri" w:cstheme="minorHAnsi"/>
          <w:bCs/>
        </w:rPr>
        <w:t>ver</w:t>
      </w:r>
      <w:r>
        <w:rPr>
          <w:rFonts w:eastAsia="Calibri" w:cstheme="minorHAnsi"/>
          <w:bCs/>
        </w:rPr>
        <w:t>sidad de Las Palmas de Gran Canaria, en s</w:t>
      </w:r>
      <w:r w:rsidR="00202E9F">
        <w:rPr>
          <w:rFonts w:eastAsia="Calibri" w:cstheme="minorHAnsi"/>
          <w:bCs/>
        </w:rPr>
        <w:t>u</w:t>
      </w:r>
      <w:r>
        <w:rPr>
          <w:rFonts w:eastAsia="Calibri" w:cstheme="minorHAnsi"/>
          <w:bCs/>
        </w:rPr>
        <w:t xml:space="preserve"> sesión de fecha </w:t>
      </w:r>
      <w:r w:rsidR="00BF4C0A">
        <w:rPr>
          <w:rFonts w:eastAsia="Calibri" w:cstheme="minorHAnsi"/>
          <w:bCs/>
        </w:rPr>
        <w:t>de 26 de enero de 2023</w:t>
      </w:r>
    </w:p>
    <w:p w14:paraId="39F8B5EC" w14:textId="77777777" w:rsidR="00785908" w:rsidRDefault="00785908" w:rsidP="00B9542D">
      <w:pPr>
        <w:spacing w:after="0"/>
        <w:jc w:val="both"/>
        <w:rPr>
          <w:rFonts w:eastAsia="Calibri" w:cstheme="minorHAnsi"/>
          <w:bCs/>
        </w:rPr>
      </w:pPr>
    </w:p>
    <w:p w14:paraId="1567F25B" w14:textId="77777777" w:rsidR="00141B86" w:rsidRDefault="00202E9F" w:rsidP="00D61B31">
      <w:pPr>
        <w:spacing w:after="0"/>
        <w:jc w:val="center"/>
        <w:rPr>
          <w:rFonts w:eastAsia="Calibri" w:cstheme="minorHAnsi"/>
          <w:bCs/>
        </w:rPr>
      </w:pPr>
      <w:r>
        <w:rPr>
          <w:rFonts w:eastAsia="Calibri" w:cstheme="minorHAnsi"/>
          <w:bCs/>
        </w:rPr>
        <w:t>ACUERDA</w:t>
      </w:r>
      <w:r w:rsidR="00D61B31">
        <w:rPr>
          <w:rFonts w:eastAsia="Calibri" w:cstheme="minorHAnsi"/>
          <w:bCs/>
        </w:rPr>
        <w:t>:</w:t>
      </w:r>
    </w:p>
    <w:p w14:paraId="4FC95BCF" w14:textId="77777777" w:rsidR="00202E9F" w:rsidRDefault="00202E9F" w:rsidP="00B9542D">
      <w:pPr>
        <w:spacing w:after="0"/>
        <w:jc w:val="both"/>
        <w:rPr>
          <w:rFonts w:eastAsia="Calibri" w:cstheme="minorHAnsi"/>
          <w:bCs/>
        </w:rPr>
      </w:pPr>
    </w:p>
    <w:p w14:paraId="7AD3EA5D" w14:textId="77777777" w:rsidR="00202E9F" w:rsidRDefault="00202E9F" w:rsidP="00B9542D">
      <w:pPr>
        <w:spacing w:after="0"/>
        <w:jc w:val="both"/>
        <w:rPr>
          <w:rFonts w:cstheme="minorHAnsi"/>
          <w:b/>
          <w:bCs/>
        </w:rPr>
      </w:pPr>
      <w:r w:rsidRPr="00202E9F">
        <w:rPr>
          <w:rFonts w:eastAsia="Calibri" w:cstheme="minorHAnsi"/>
          <w:b/>
          <w:bCs/>
        </w:rPr>
        <w:t xml:space="preserve">Artículo único. Modificación del </w:t>
      </w:r>
      <w:r w:rsidRPr="00202E9F">
        <w:rPr>
          <w:rFonts w:cstheme="minorHAnsi"/>
          <w:b/>
          <w:bCs/>
        </w:rPr>
        <w:t xml:space="preserve">Reglamento </w:t>
      </w:r>
      <w:r w:rsidRPr="00202E9F">
        <w:rPr>
          <w:rFonts w:eastAsia="Calibri" w:cstheme="minorHAnsi"/>
          <w:b/>
        </w:rPr>
        <w:t xml:space="preserve">para la cobertura de </w:t>
      </w:r>
      <w:r w:rsidRPr="00202E9F">
        <w:rPr>
          <w:rFonts w:cstheme="minorHAnsi"/>
          <w:b/>
          <w:bCs/>
        </w:rPr>
        <w:t>necesidades docentes sobrevenidas y la contratación de profesorado sustituto de la Universidad</w:t>
      </w:r>
      <w:r>
        <w:rPr>
          <w:rFonts w:cstheme="minorHAnsi"/>
          <w:b/>
          <w:bCs/>
        </w:rPr>
        <w:t xml:space="preserve"> de Las Palmas de Gran Canaria.</w:t>
      </w:r>
    </w:p>
    <w:p w14:paraId="2ED2EDA5" w14:textId="77777777" w:rsidR="00202E9F" w:rsidRPr="00202E9F" w:rsidRDefault="00202E9F" w:rsidP="00B9542D">
      <w:pPr>
        <w:spacing w:after="0"/>
        <w:jc w:val="both"/>
        <w:rPr>
          <w:rFonts w:eastAsia="Calibri" w:cstheme="minorHAnsi"/>
          <w:bCs/>
        </w:rPr>
      </w:pPr>
    </w:p>
    <w:p w14:paraId="6CF39028" w14:textId="77777777" w:rsidR="00202E9F" w:rsidRPr="00202E9F" w:rsidRDefault="00202E9F" w:rsidP="00B9542D">
      <w:pPr>
        <w:spacing w:after="0"/>
        <w:jc w:val="both"/>
        <w:rPr>
          <w:rFonts w:eastAsia="Calibri" w:cstheme="minorHAnsi"/>
          <w:bCs/>
        </w:rPr>
      </w:pPr>
      <w:r w:rsidRPr="00202E9F">
        <w:rPr>
          <w:rFonts w:eastAsia="Calibri" w:cstheme="minorHAnsi"/>
          <w:bCs/>
        </w:rPr>
        <w:t>El</w:t>
      </w:r>
      <w:r>
        <w:rPr>
          <w:rFonts w:eastAsia="Calibri" w:cstheme="minorHAnsi"/>
          <w:bCs/>
        </w:rPr>
        <w:t xml:space="preserve"> referido Reglamento se modifica en los siguientes términos:</w:t>
      </w:r>
    </w:p>
    <w:p w14:paraId="56EE37BB" w14:textId="77777777" w:rsidR="00B9542D" w:rsidRPr="00202E9F" w:rsidRDefault="00B9542D" w:rsidP="00B9542D">
      <w:pPr>
        <w:spacing w:after="0"/>
        <w:jc w:val="both"/>
      </w:pPr>
    </w:p>
    <w:p w14:paraId="0BDCDBAD" w14:textId="77777777" w:rsidR="00B9542D" w:rsidRPr="00D61B31" w:rsidRDefault="00202E9F" w:rsidP="00202E9F">
      <w:pPr>
        <w:spacing w:after="0"/>
        <w:jc w:val="center"/>
        <w:rPr>
          <w:b/>
          <w:sz w:val="20"/>
          <w:szCs w:val="20"/>
        </w:rPr>
      </w:pPr>
      <w:r w:rsidRPr="00202E9F">
        <w:t>“</w:t>
      </w:r>
      <w:r w:rsidRPr="00D61B31">
        <w:rPr>
          <w:b/>
          <w:sz w:val="20"/>
          <w:szCs w:val="20"/>
        </w:rPr>
        <w:t>ANEXO II</w:t>
      </w:r>
    </w:p>
    <w:p w14:paraId="32E42E0D" w14:textId="77777777" w:rsidR="00202E9F" w:rsidRPr="00D61B31" w:rsidRDefault="00202E9F" w:rsidP="00202E9F">
      <w:pPr>
        <w:spacing w:after="0"/>
        <w:jc w:val="center"/>
        <w:rPr>
          <w:b/>
          <w:sz w:val="20"/>
          <w:szCs w:val="20"/>
        </w:rPr>
      </w:pPr>
      <w:r w:rsidRPr="00D61B31">
        <w:rPr>
          <w:b/>
          <w:sz w:val="20"/>
          <w:szCs w:val="20"/>
        </w:rPr>
        <w:t>CRITERIOS GENERALES PARA LA VALORACIÓN DE MÉRITOS DE LA BOLSA DE SUSTITUCIÓN DEL PDI</w:t>
      </w:r>
    </w:p>
    <w:p w14:paraId="76C77705" w14:textId="77777777" w:rsidR="00202E9F" w:rsidRPr="00202E9F" w:rsidRDefault="00202E9F" w:rsidP="00B9542D">
      <w:pPr>
        <w:spacing w:after="0"/>
        <w:jc w:val="both"/>
      </w:pPr>
    </w:p>
    <w:p w14:paraId="5D2DF3E6" w14:textId="77777777" w:rsidR="00202E9F" w:rsidRPr="00202E9F" w:rsidRDefault="00202E9F" w:rsidP="00202E9F">
      <w:pPr>
        <w:pStyle w:val="Prrafodelista"/>
        <w:numPr>
          <w:ilvl w:val="0"/>
          <w:numId w:val="1"/>
        </w:numPr>
        <w:spacing w:after="0"/>
        <w:jc w:val="both"/>
        <w:rPr>
          <w:rFonts w:ascii="Times New Roman" w:eastAsia="Calibri" w:hAnsi="Times New Roman" w:cs="Times New Roman"/>
          <w:bCs/>
          <w:sz w:val="20"/>
          <w:szCs w:val="20"/>
        </w:rPr>
      </w:pPr>
      <w:r w:rsidRPr="00202E9F">
        <w:rPr>
          <w:sz w:val="20"/>
          <w:szCs w:val="20"/>
        </w:rPr>
        <w:lastRenderedPageBreak/>
        <w:t>Sólo se valorarán las candidaturas que acrediten la titulación requerida que da acceso a la plaza, quedando excluidas las que, pese a no acreditarla, procedan a auto baremarse.</w:t>
      </w:r>
    </w:p>
    <w:p w14:paraId="46F2ACC6" w14:textId="77777777" w:rsidR="00202E9F" w:rsidRPr="00202E9F" w:rsidRDefault="00202E9F" w:rsidP="00202E9F">
      <w:pPr>
        <w:pStyle w:val="Prrafodelista"/>
        <w:numPr>
          <w:ilvl w:val="0"/>
          <w:numId w:val="1"/>
        </w:numPr>
        <w:spacing w:after="0"/>
        <w:jc w:val="both"/>
        <w:rPr>
          <w:rFonts w:ascii="Times New Roman" w:eastAsia="Calibri" w:hAnsi="Times New Roman" w:cs="Times New Roman"/>
          <w:bCs/>
          <w:sz w:val="20"/>
          <w:szCs w:val="20"/>
        </w:rPr>
      </w:pPr>
      <w:r w:rsidRPr="00202E9F">
        <w:rPr>
          <w:sz w:val="20"/>
          <w:szCs w:val="20"/>
        </w:rPr>
        <w:t>La calificación del candidato se valora según puntuación acumulada tras aplicar el índice de afinidad en los apartados que corresponda, siguiendo el baremo establecido en el Anexo I.</w:t>
      </w:r>
    </w:p>
    <w:p w14:paraId="66DB092F" w14:textId="77777777" w:rsidR="00202E9F" w:rsidRPr="00D61B31" w:rsidRDefault="00202E9F" w:rsidP="00D61B31">
      <w:pPr>
        <w:pStyle w:val="Prrafodelista"/>
        <w:numPr>
          <w:ilvl w:val="0"/>
          <w:numId w:val="1"/>
        </w:numPr>
        <w:spacing w:after="0"/>
        <w:jc w:val="both"/>
      </w:pPr>
      <w:r w:rsidRPr="00202E9F">
        <w:rPr>
          <w:sz w:val="20"/>
          <w:szCs w:val="20"/>
        </w:rPr>
        <w:t>En caso de empate, se atenderá a la mayor puntuación obtenida en los diferentes bloques y por el siguiente orden de prelación: en primer</w:t>
      </w:r>
      <w:r w:rsidR="00D61B31">
        <w:rPr>
          <w:sz w:val="20"/>
          <w:szCs w:val="20"/>
        </w:rPr>
        <w:t xml:space="preserve"> </w:t>
      </w:r>
      <w:r w:rsidRPr="00D61B31">
        <w:rPr>
          <w:sz w:val="20"/>
          <w:szCs w:val="20"/>
        </w:rPr>
        <w:t>lugar, en el bloque de méritos docentes; en segundo lugar, en el bloque de méritos investigadores; en tercer lugar, en el bloque de méritos preferentes; y, en cuarto y último lugar, en el bloque de méritos académicos.</w:t>
      </w:r>
    </w:p>
    <w:p w14:paraId="7BFC476F" w14:textId="77777777" w:rsidR="00202E9F" w:rsidRPr="00202E9F" w:rsidRDefault="00202E9F" w:rsidP="00202E9F">
      <w:pPr>
        <w:pStyle w:val="Prrafodelista"/>
        <w:numPr>
          <w:ilvl w:val="0"/>
          <w:numId w:val="1"/>
        </w:numPr>
        <w:spacing w:after="0"/>
        <w:jc w:val="both"/>
        <w:rPr>
          <w:rFonts w:ascii="Times New Roman" w:eastAsia="Calibri" w:hAnsi="Times New Roman" w:cs="Times New Roman"/>
          <w:bCs/>
          <w:sz w:val="20"/>
          <w:szCs w:val="20"/>
        </w:rPr>
      </w:pPr>
      <w:r w:rsidRPr="00202E9F">
        <w:rPr>
          <w:sz w:val="20"/>
          <w:szCs w:val="20"/>
        </w:rPr>
        <w:t>La puntuación máxima total será de 100 puntos, distribuidos por bloques temáticos de la siguiente forma:</w:t>
      </w:r>
    </w:p>
    <w:p w14:paraId="184D54BA" w14:textId="77777777" w:rsidR="00202E9F" w:rsidRPr="00202E9F" w:rsidRDefault="00202E9F" w:rsidP="00202E9F">
      <w:pPr>
        <w:pStyle w:val="Prrafodelista"/>
        <w:spacing w:after="0"/>
        <w:ind w:left="770"/>
        <w:jc w:val="both"/>
      </w:pPr>
    </w:p>
    <w:tbl>
      <w:tblPr>
        <w:tblStyle w:val="Tablaconcuadrcula"/>
        <w:tblW w:w="0" w:type="auto"/>
        <w:tblInd w:w="1555" w:type="dxa"/>
        <w:tblLook w:val="04A0" w:firstRow="1" w:lastRow="0" w:firstColumn="1" w:lastColumn="0" w:noHBand="0" w:noVBand="1"/>
      </w:tblPr>
      <w:tblGrid>
        <w:gridCol w:w="3260"/>
        <w:gridCol w:w="1984"/>
      </w:tblGrid>
      <w:tr w:rsidR="00202E9F" w:rsidRPr="00D61B31" w14:paraId="23DB2420" w14:textId="77777777" w:rsidTr="00C25F43">
        <w:tc>
          <w:tcPr>
            <w:tcW w:w="3260" w:type="dxa"/>
            <w:shd w:val="clear" w:color="auto" w:fill="BFBFBF" w:themeFill="background1" w:themeFillShade="BF"/>
          </w:tcPr>
          <w:p w14:paraId="69B83085" w14:textId="77777777" w:rsidR="00202E9F" w:rsidRPr="00D61B31" w:rsidRDefault="00202E9F" w:rsidP="00C25F43">
            <w:pPr>
              <w:pStyle w:val="Prrafodelista"/>
              <w:tabs>
                <w:tab w:val="left" w:pos="566"/>
                <w:tab w:val="left" w:pos="1223"/>
              </w:tabs>
              <w:ind w:left="0"/>
              <w:jc w:val="center"/>
              <w:rPr>
                <w:rFonts w:ascii="Times New Roman" w:eastAsia="Calibri" w:hAnsi="Times New Roman" w:cs="Times New Roman"/>
                <w:b/>
                <w:bCs/>
                <w:sz w:val="20"/>
                <w:szCs w:val="20"/>
              </w:rPr>
            </w:pPr>
            <w:r w:rsidRPr="00D61B31">
              <w:rPr>
                <w:b/>
                <w:sz w:val="20"/>
                <w:szCs w:val="20"/>
              </w:rPr>
              <w:t>BLOQUES TEMÁTICOS</w:t>
            </w:r>
          </w:p>
        </w:tc>
        <w:tc>
          <w:tcPr>
            <w:tcW w:w="1984" w:type="dxa"/>
            <w:shd w:val="clear" w:color="auto" w:fill="BFBFBF" w:themeFill="background1" w:themeFillShade="BF"/>
          </w:tcPr>
          <w:p w14:paraId="5A2A4D0F" w14:textId="77777777" w:rsidR="00202E9F" w:rsidRPr="00D61B31" w:rsidRDefault="00D61B31" w:rsidP="00D61B31">
            <w:pPr>
              <w:pStyle w:val="Prrafodelista"/>
              <w:ind w:left="0"/>
              <w:jc w:val="center"/>
              <w:rPr>
                <w:rFonts w:ascii="Times New Roman" w:eastAsia="Calibri" w:hAnsi="Times New Roman" w:cs="Times New Roman"/>
                <w:b/>
                <w:bCs/>
                <w:sz w:val="20"/>
                <w:szCs w:val="20"/>
              </w:rPr>
            </w:pPr>
            <w:r w:rsidRPr="00D61B31">
              <w:rPr>
                <w:b/>
              </w:rPr>
              <w:t>PUNTOS MÁXIMOS</w:t>
            </w:r>
          </w:p>
        </w:tc>
      </w:tr>
      <w:tr w:rsidR="00202E9F" w:rsidRPr="00202E9F" w14:paraId="4BAEF74E" w14:textId="77777777" w:rsidTr="00C25F43">
        <w:tc>
          <w:tcPr>
            <w:tcW w:w="3260" w:type="dxa"/>
          </w:tcPr>
          <w:p w14:paraId="290593C7" w14:textId="77777777" w:rsidR="00202E9F" w:rsidRPr="00D61B31" w:rsidRDefault="00202E9F" w:rsidP="00C25F43">
            <w:pPr>
              <w:pStyle w:val="Prrafodelista"/>
              <w:numPr>
                <w:ilvl w:val="0"/>
                <w:numId w:val="2"/>
              </w:numPr>
              <w:tabs>
                <w:tab w:val="left" w:pos="566"/>
                <w:tab w:val="left" w:pos="1223"/>
              </w:tabs>
              <w:jc w:val="both"/>
              <w:rPr>
                <w:sz w:val="20"/>
                <w:szCs w:val="20"/>
              </w:rPr>
            </w:pPr>
            <w:r w:rsidRPr="00D61B31">
              <w:rPr>
                <w:sz w:val="20"/>
                <w:szCs w:val="20"/>
              </w:rPr>
              <w:t>MÉRITOS ACADÉMICOS</w:t>
            </w:r>
          </w:p>
        </w:tc>
        <w:tc>
          <w:tcPr>
            <w:tcW w:w="1984" w:type="dxa"/>
          </w:tcPr>
          <w:p w14:paraId="5602FCF4" w14:textId="77777777" w:rsidR="00202E9F" w:rsidRPr="00D61B31" w:rsidRDefault="00202E9F" w:rsidP="00D61B31">
            <w:pPr>
              <w:pStyle w:val="Prrafodelista"/>
              <w:ind w:left="0"/>
              <w:jc w:val="center"/>
              <w:rPr>
                <w:rFonts w:ascii="Times New Roman" w:eastAsia="Calibri" w:hAnsi="Times New Roman" w:cs="Times New Roman"/>
                <w:bCs/>
                <w:sz w:val="20"/>
                <w:szCs w:val="20"/>
              </w:rPr>
            </w:pPr>
            <w:r w:rsidRPr="00D61B31">
              <w:rPr>
                <w:sz w:val="20"/>
                <w:szCs w:val="20"/>
              </w:rPr>
              <w:t>20</w:t>
            </w:r>
          </w:p>
        </w:tc>
      </w:tr>
      <w:tr w:rsidR="00202E9F" w:rsidRPr="00202E9F" w14:paraId="10D0963C" w14:textId="77777777" w:rsidTr="00C25F43">
        <w:tc>
          <w:tcPr>
            <w:tcW w:w="3260" w:type="dxa"/>
          </w:tcPr>
          <w:p w14:paraId="12523CF0" w14:textId="77777777" w:rsidR="00202E9F" w:rsidRPr="00D61B31" w:rsidRDefault="00202E9F" w:rsidP="00C25F43">
            <w:pPr>
              <w:pStyle w:val="Prrafodelista"/>
              <w:numPr>
                <w:ilvl w:val="0"/>
                <w:numId w:val="2"/>
              </w:numPr>
              <w:tabs>
                <w:tab w:val="left" w:pos="566"/>
                <w:tab w:val="left" w:pos="1223"/>
              </w:tabs>
              <w:jc w:val="both"/>
              <w:rPr>
                <w:sz w:val="20"/>
                <w:szCs w:val="20"/>
              </w:rPr>
            </w:pPr>
            <w:r w:rsidRPr="00D61B31">
              <w:rPr>
                <w:sz w:val="20"/>
                <w:szCs w:val="20"/>
              </w:rPr>
              <w:t>MÉRITOS DOCENTES</w:t>
            </w:r>
          </w:p>
        </w:tc>
        <w:tc>
          <w:tcPr>
            <w:tcW w:w="1984" w:type="dxa"/>
          </w:tcPr>
          <w:p w14:paraId="77F86F3E" w14:textId="77777777" w:rsidR="00202E9F" w:rsidRPr="00D61B31" w:rsidRDefault="00202E9F" w:rsidP="00D61B31">
            <w:pPr>
              <w:pStyle w:val="Prrafodelista"/>
              <w:ind w:left="0"/>
              <w:jc w:val="center"/>
              <w:rPr>
                <w:rFonts w:ascii="Times New Roman" w:eastAsia="Calibri" w:hAnsi="Times New Roman" w:cs="Times New Roman"/>
                <w:bCs/>
                <w:sz w:val="20"/>
                <w:szCs w:val="20"/>
              </w:rPr>
            </w:pPr>
            <w:r w:rsidRPr="00D61B31">
              <w:rPr>
                <w:sz w:val="20"/>
                <w:szCs w:val="20"/>
              </w:rPr>
              <w:t>35</w:t>
            </w:r>
          </w:p>
        </w:tc>
      </w:tr>
      <w:tr w:rsidR="00202E9F" w:rsidRPr="00202E9F" w14:paraId="023EB5DA" w14:textId="77777777" w:rsidTr="00C25F43">
        <w:tc>
          <w:tcPr>
            <w:tcW w:w="3260" w:type="dxa"/>
          </w:tcPr>
          <w:p w14:paraId="2D204740" w14:textId="77777777" w:rsidR="00202E9F" w:rsidRPr="00D61B31" w:rsidRDefault="00202E9F" w:rsidP="00C25F43">
            <w:pPr>
              <w:pStyle w:val="Prrafodelista"/>
              <w:numPr>
                <w:ilvl w:val="0"/>
                <w:numId w:val="2"/>
              </w:numPr>
              <w:tabs>
                <w:tab w:val="left" w:pos="566"/>
                <w:tab w:val="left" w:pos="1223"/>
              </w:tabs>
              <w:jc w:val="both"/>
              <w:rPr>
                <w:sz w:val="20"/>
                <w:szCs w:val="20"/>
              </w:rPr>
            </w:pPr>
            <w:r w:rsidRPr="00D61B31">
              <w:rPr>
                <w:sz w:val="20"/>
                <w:szCs w:val="20"/>
              </w:rPr>
              <w:t>MÉRITOS INVESTIGADORES</w:t>
            </w:r>
          </w:p>
        </w:tc>
        <w:tc>
          <w:tcPr>
            <w:tcW w:w="1984" w:type="dxa"/>
          </w:tcPr>
          <w:p w14:paraId="4A5A38B8" w14:textId="77777777" w:rsidR="00202E9F" w:rsidRPr="00D61B31" w:rsidRDefault="00202E9F" w:rsidP="00D61B31">
            <w:pPr>
              <w:pStyle w:val="Prrafodelista"/>
              <w:ind w:left="0"/>
              <w:jc w:val="center"/>
              <w:rPr>
                <w:rFonts w:ascii="Times New Roman" w:eastAsia="Calibri" w:hAnsi="Times New Roman" w:cs="Times New Roman"/>
                <w:bCs/>
                <w:sz w:val="20"/>
                <w:szCs w:val="20"/>
              </w:rPr>
            </w:pPr>
            <w:r w:rsidRPr="00D61B31">
              <w:rPr>
                <w:sz w:val="20"/>
                <w:szCs w:val="20"/>
              </w:rPr>
              <w:t>35</w:t>
            </w:r>
          </w:p>
        </w:tc>
      </w:tr>
      <w:tr w:rsidR="00202E9F" w:rsidRPr="00202E9F" w14:paraId="2E46D9E0" w14:textId="77777777" w:rsidTr="00C25F43">
        <w:tc>
          <w:tcPr>
            <w:tcW w:w="3260" w:type="dxa"/>
          </w:tcPr>
          <w:p w14:paraId="3AD318DA" w14:textId="77777777" w:rsidR="00202E9F" w:rsidRPr="00D61B31" w:rsidRDefault="00202E9F" w:rsidP="00C25F43">
            <w:pPr>
              <w:pStyle w:val="Prrafodelista"/>
              <w:numPr>
                <w:ilvl w:val="0"/>
                <w:numId w:val="2"/>
              </w:numPr>
              <w:tabs>
                <w:tab w:val="left" w:pos="566"/>
                <w:tab w:val="left" w:pos="1223"/>
              </w:tabs>
              <w:jc w:val="both"/>
              <w:rPr>
                <w:sz w:val="20"/>
                <w:szCs w:val="20"/>
              </w:rPr>
            </w:pPr>
            <w:r w:rsidRPr="00D61B31">
              <w:rPr>
                <w:sz w:val="20"/>
                <w:szCs w:val="20"/>
              </w:rPr>
              <w:t>MÉRITOS PREFERENTES</w:t>
            </w:r>
          </w:p>
        </w:tc>
        <w:tc>
          <w:tcPr>
            <w:tcW w:w="1984" w:type="dxa"/>
          </w:tcPr>
          <w:p w14:paraId="4F6D46ED" w14:textId="77777777" w:rsidR="00202E9F" w:rsidRPr="00D61B31" w:rsidRDefault="00202E9F" w:rsidP="00D61B31">
            <w:pPr>
              <w:pStyle w:val="Prrafodelista"/>
              <w:ind w:left="0"/>
              <w:jc w:val="center"/>
              <w:rPr>
                <w:rFonts w:ascii="Times New Roman" w:eastAsia="Calibri" w:hAnsi="Times New Roman" w:cs="Times New Roman"/>
                <w:bCs/>
                <w:sz w:val="20"/>
                <w:szCs w:val="20"/>
              </w:rPr>
            </w:pPr>
            <w:r w:rsidRPr="00D61B31">
              <w:rPr>
                <w:sz w:val="20"/>
                <w:szCs w:val="20"/>
              </w:rPr>
              <w:t>10</w:t>
            </w:r>
          </w:p>
        </w:tc>
      </w:tr>
      <w:tr w:rsidR="00202E9F" w:rsidRPr="00202E9F" w14:paraId="4924FD14" w14:textId="77777777" w:rsidTr="00C25F43">
        <w:tc>
          <w:tcPr>
            <w:tcW w:w="3260" w:type="dxa"/>
          </w:tcPr>
          <w:p w14:paraId="6F212FCD" w14:textId="77777777" w:rsidR="00202E9F" w:rsidRPr="00D61B31" w:rsidRDefault="00202E9F" w:rsidP="00C25F43">
            <w:pPr>
              <w:pStyle w:val="Prrafodelista"/>
              <w:tabs>
                <w:tab w:val="left" w:pos="566"/>
                <w:tab w:val="left" w:pos="1223"/>
              </w:tabs>
              <w:ind w:left="1080"/>
              <w:jc w:val="right"/>
              <w:rPr>
                <w:b/>
                <w:sz w:val="20"/>
                <w:szCs w:val="20"/>
              </w:rPr>
            </w:pPr>
            <w:r w:rsidRPr="00D61B31">
              <w:rPr>
                <w:b/>
                <w:sz w:val="20"/>
                <w:szCs w:val="20"/>
              </w:rPr>
              <w:t>TOTAL</w:t>
            </w:r>
          </w:p>
        </w:tc>
        <w:tc>
          <w:tcPr>
            <w:tcW w:w="1984" w:type="dxa"/>
          </w:tcPr>
          <w:p w14:paraId="6733CBF9" w14:textId="77777777" w:rsidR="00202E9F" w:rsidRPr="00D61B31" w:rsidRDefault="00202E9F" w:rsidP="00D61B31">
            <w:pPr>
              <w:pStyle w:val="Prrafodelista"/>
              <w:ind w:left="0"/>
              <w:jc w:val="center"/>
              <w:rPr>
                <w:b/>
                <w:sz w:val="20"/>
                <w:szCs w:val="20"/>
              </w:rPr>
            </w:pPr>
            <w:r w:rsidRPr="00D61B31">
              <w:rPr>
                <w:b/>
                <w:sz w:val="20"/>
                <w:szCs w:val="20"/>
              </w:rPr>
              <w:t>100</w:t>
            </w:r>
          </w:p>
        </w:tc>
      </w:tr>
    </w:tbl>
    <w:p w14:paraId="2B0DB824" w14:textId="77777777" w:rsidR="00202E9F" w:rsidRPr="00202E9F" w:rsidRDefault="00202E9F" w:rsidP="00202E9F">
      <w:pPr>
        <w:pStyle w:val="Prrafodelista"/>
        <w:spacing w:after="0"/>
        <w:ind w:left="770"/>
        <w:jc w:val="both"/>
        <w:rPr>
          <w:rFonts w:ascii="Times New Roman" w:eastAsia="Calibri" w:hAnsi="Times New Roman" w:cs="Times New Roman"/>
          <w:bCs/>
          <w:sz w:val="24"/>
          <w:szCs w:val="24"/>
        </w:rPr>
      </w:pPr>
    </w:p>
    <w:p w14:paraId="485E08AE" w14:textId="77777777" w:rsidR="00B9542D" w:rsidRPr="00BF4C0A" w:rsidRDefault="004F3021" w:rsidP="00D61B31">
      <w:pPr>
        <w:pStyle w:val="Prrafodelista"/>
        <w:numPr>
          <w:ilvl w:val="0"/>
          <w:numId w:val="3"/>
        </w:numPr>
        <w:spacing w:after="0"/>
        <w:jc w:val="both"/>
        <w:rPr>
          <w:sz w:val="20"/>
          <w:szCs w:val="20"/>
        </w:rPr>
      </w:pPr>
      <w:r w:rsidRPr="00BF4C0A">
        <w:rPr>
          <w:sz w:val="20"/>
          <w:szCs w:val="20"/>
        </w:rPr>
        <w:t>Todas l</w:t>
      </w:r>
      <w:r w:rsidR="00D61B31" w:rsidRPr="00BF4C0A">
        <w:rPr>
          <w:sz w:val="20"/>
          <w:szCs w:val="20"/>
        </w:rPr>
        <w:t xml:space="preserve">as candidaturas serán </w:t>
      </w:r>
      <w:r w:rsidRPr="00BF4C0A">
        <w:rPr>
          <w:sz w:val="20"/>
          <w:szCs w:val="20"/>
        </w:rPr>
        <w:t>relacionadas</w:t>
      </w:r>
      <w:r w:rsidR="00D61B31" w:rsidRPr="00BF4C0A">
        <w:rPr>
          <w:sz w:val="20"/>
          <w:szCs w:val="20"/>
        </w:rPr>
        <w:t xml:space="preserve"> por orden decreciente</w:t>
      </w:r>
      <w:r w:rsidRPr="00BF4C0A">
        <w:rPr>
          <w:sz w:val="20"/>
          <w:szCs w:val="20"/>
        </w:rPr>
        <w:t xml:space="preserve"> conforme a la</w:t>
      </w:r>
      <w:r w:rsidR="00D61B31" w:rsidRPr="00BF4C0A">
        <w:rPr>
          <w:sz w:val="20"/>
          <w:szCs w:val="20"/>
        </w:rPr>
        <w:t xml:space="preserve"> p</w:t>
      </w:r>
      <w:r w:rsidRPr="00BF4C0A">
        <w:rPr>
          <w:sz w:val="20"/>
          <w:szCs w:val="20"/>
        </w:rPr>
        <w:t>u</w:t>
      </w:r>
      <w:r w:rsidR="00D61B31" w:rsidRPr="00BF4C0A">
        <w:rPr>
          <w:sz w:val="20"/>
          <w:szCs w:val="20"/>
        </w:rPr>
        <w:t>ntuación</w:t>
      </w:r>
      <w:r w:rsidRPr="00BF4C0A">
        <w:rPr>
          <w:sz w:val="20"/>
          <w:szCs w:val="20"/>
        </w:rPr>
        <w:t xml:space="preserve"> global obtenida.</w:t>
      </w:r>
    </w:p>
    <w:p w14:paraId="5A7FDF9D" w14:textId="77777777" w:rsidR="00747A34" w:rsidRDefault="00747A34" w:rsidP="00B9542D">
      <w:pPr>
        <w:pStyle w:val="Ttulo1"/>
        <w:tabs>
          <w:tab w:val="left" w:pos="734"/>
          <w:tab w:val="left" w:pos="1443"/>
          <w:tab w:val="left" w:pos="1795"/>
          <w:tab w:val="left" w:pos="2154"/>
          <w:tab w:val="left" w:pos="2454"/>
          <w:tab w:val="left" w:pos="2698"/>
          <w:tab w:val="left" w:pos="3810"/>
          <w:tab w:val="left" w:pos="4610"/>
          <w:tab w:val="left" w:pos="4642"/>
          <w:tab w:val="left" w:pos="5144"/>
          <w:tab w:val="left" w:pos="5174"/>
          <w:tab w:val="left" w:pos="6895"/>
          <w:tab w:val="left" w:pos="7036"/>
          <w:tab w:val="left" w:pos="7438"/>
          <w:tab w:val="left" w:pos="8572"/>
        </w:tabs>
        <w:spacing w:before="76" w:after="280"/>
        <w:ind w:right="116"/>
        <w:jc w:val="both"/>
        <w:rPr>
          <w:rFonts w:asciiTheme="minorHAnsi" w:hAnsiTheme="minorHAnsi" w:cstheme="minorHAnsi"/>
          <w:bCs w:val="0"/>
          <w:sz w:val="20"/>
          <w:szCs w:val="20"/>
        </w:rPr>
      </w:pPr>
      <w:r>
        <w:rPr>
          <w:rFonts w:asciiTheme="minorHAnsi" w:hAnsiTheme="minorHAnsi" w:cstheme="minorHAnsi"/>
          <w:bCs w:val="0"/>
          <w:sz w:val="20"/>
          <w:szCs w:val="20"/>
        </w:rPr>
        <w:t xml:space="preserve">Disposición adicional única. </w:t>
      </w:r>
      <w:r w:rsidR="001A23A1" w:rsidRPr="001A23A1">
        <w:rPr>
          <w:rFonts w:asciiTheme="minorHAnsi" w:hAnsiTheme="minorHAnsi" w:cstheme="minorHAnsi"/>
          <w:bCs w:val="0"/>
          <w:i/>
          <w:sz w:val="20"/>
          <w:szCs w:val="20"/>
        </w:rPr>
        <w:t>Actualización de las bolsas de sustitución</w:t>
      </w:r>
      <w:r w:rsidR="001A23A1">
        <w:rPr>
          <w:rFonts w:asciiTheme="minorHAnsi" w:hAnsiTheme="minorHAnsi" w:cstheme="minorHAnsi"/>
          <w:bCs w:val="0"/>
          <w:sz w:val="20"/>
          <w:szCs w:val="20"/>
        </w:rPr>
        <w:t>.</w:t>
      </w:r>
    </w:p>
    <w:p w14:paraId="76B27328" w14:textId="77777777" w:rsidR="00BF4C0A" w:rsidRPr="000C1A0B" w:rsidRDefault="00BF4C0A" w:rsidP="00B9542D">
      <w:pPr>
        <w:pStyle w:val="Ttulo1"/>
        <w:tabs>
          <w:tab w:val="left" w:pos="734"/>
          <w:tab w:val="left" w:pos="1443"/>
          <w:tab w:val="left" w:pos="1795"/>
          <w:tab w:val="left" w:pos="2154"/>
          <w:tab w:val="left" w:pos="2454"/>
          <w:tab w:val="left" w:pos="2698"/>
          <w:tab w:val="left" w:pos="3810"/>
          <w:tab w:val="left" w:pos="4610"/>
          <w:tab w:val="left" w:pos="4642"/>
          <w:tab w:val="left" w:pos="5144"/>
          <w:tab w:val="left" w:pos="5174"/>
          <w:tab w:val="left" w:pos="6895"/>
          <w:tab w:val="left" w:pos="7036"/>
          <w:tab w:val="left" w:pos="7438"/>
          <w:tab w:val="left" w:pos="8572"/>
        </w:tabs>
        <w:spacing w:before="76" w:after="280"/>
        <w:ind w:right="116"/>
        <w:jc w:val="both"/>
        <w:rPr>
          <w:rFonts w:asciiTheme="minorHAnsi" w:hAnsiTheme="minorHAnsi" w:cstheme="minorHAnsi"/>
          <w:b w:val="0"/>
          <w:bCs w:val="0"/>
          <w:sz w:val="20"/>
          <w:szCs w:val="20"/>
        </w:rPr>
      </w:pPr>
      <w:r w:rsidRPr="000C1A0B">
        <w:rPr>
          <w:rFonts w:asciiTheme="minorHAnsi" w:hAnsiTheme="minorHAnsi" w:cstheme="minorHAnsi"/>
          <w:b w:val="0"/>
          <w:bCs w:val="0"/>
          <w:sz w:val="20"/>
          <w:szCs w:val="20"/>
        </w:rPr>
        <w:t>Se procederá a la actualización de las bolsas de sustitución creadas hasta el momento en la convocatoria anual conforme al procedimiento previsto en la misma.</w:t>
      </w:r>
    </w:p>
    <w:p w14:paraId="36F8BFAA" w14:textId="77777777" w:rsidR="00B9542D" w:rsidRPr="00747A34" w:rsidRDefault="004F3021" w:rsidP="00B9542D">
      <w:pPr>
        <w:pStyle w:val="Ttulo1"/>
        <w:tabs>
          <w:tab w:val="left" w:pos="734"/>
          <w:tab w:val="left" w:pos="1443"/>
          <w:tab w:val="left" w:pos="1795"/>
          <w:tab w:val="left" w:pos="2154"/>
          <w:tab w:val="left" w:pos="2454"/>
          <w:tab w:val="left" w:pos="2698"/>
          <w:tab w:val="left" w:pos="3810"/>
          <w:tab w:val="left" w:pos="4610"/>
          <w:tab w:val="left" w:pos="4642"/>
          <w:tab w:val="left" w:pos="5144"/>
          <w:tab w:val="left" w:pos="5174"/>
          <w:tab w:val="left" w:pos="6895"/>
          <w:tab w:val="left" w:pos="7036"/>
          <w:tab w:val="left" w:pos="7438"/>
          <w:tab w:val="left" w:pos="8572"/>
        </w:tabs>
        <w:spacing w:before="76" w:after="280"/>
        <w:ind w:right="116"/>
        <w:jc w:val="both"/>
        <w:rPr>
          <w:rFonts w:asciiTheme="minorHAnsi" w:hAnsiTheme="minorHAnsi" w:cstheme="minorHAnsi"/>
          <w:bCs w:val="0"/>
          <w:sz w:val="20"/>
          <w:szCs w:val="20"/>
        </w:rPr>
      </w:pPr>
      <w:r w:rsidRPr="00747A34">
        <w:rPr>
          <w:rFonts w:asciiTheme="minorHAnsi" w:hAnsiTheme="minorHAnsi" w:cstheme="minorHAnsi"/>
          <w:bCs w:val="0"/>
          <w:sz w:val="20"/>
          <w:szCs w:val="20"/>
        </w:rPr>
        <w:t>Disposición transitoria única.</w:t>
      </w:r>
      <w:r w:rsidR="00C25F43" w:rsidRPr="00747A34">
        <w:rPr>
          <w:rFonts w:asciiTheme="minorHAnsi" w:hAnsiTheme="minorHAnsi" w:cstheme="minorHAnsi"/>
          <w:bCs w:val="0"/>
          <w:sz w:val="20"/>
          <w:szCs w:val="20"/>
        </w:rPr>
        <w:t xml:space="preserve"> </w:t>
      </w:r>
      <w:r w:rsidR="00747A34" w:rsidRPr="00747A34">
        <w:rPr>
          <w:rFonts w:asciiTheme="minorHAnsi" w:hAnsiTheme="minorHAnsi" w:cstheme="minorHAnsi"/>
          <w:bCs w:val="0"/>
          <w:i/>
          <w:sz w:val="20"/>
          <w:szCs w:val="20"/>
        </w:rPr>
        <w:t>Contrataciones de sustitutos derivadas de convocatorias efectuadas con anterioridad a la entrada en vigor de este Acuerdo.</w:t>
      </w:r>
      <w:r w:rsidR="00747A34">
        <w:rPr>
          <w:rFonts w:asciiTheme="minorHAnsi" w:hAnsiTheme="minorHAnsi" w:cstheme="minorHAnsi"/>
          <w:bCs w:val="0"/>
          <w:sz w:val="20"/>
          <w:szCs w:val="20"/>
        </w:rPr>
        <w:t xml:space="preserve"> </w:t>
      </w:r>
    </w:p>
    <w:p w14:paraId="7FDDB997" w14:textId="77777777" w:rsidR="00C25F43" w:rsidRPr="00C25F43" w:rsidRDefault="00B9542D" w:rsidP="00C25F43">
      <w:pPr>
        <w:pStyle w:val="Textonotapie"/>
        <w:jc w:val="both"/>
      </w:pPr>
      <w:r w:rsidRPr="00C25F43">
        <w:t xml:space="preserve"> </w:t>
      </w:r>
      <w:r w:rsidR="00C25F43" w:rsidRPr="00C25F43">
        <w:t xml:space="preserve">La contratación de </w:t>
      </w:r>
      <w:r w:rsidR="00747A34">
        <w:t>candidatos</w:t>
      </w:r>
      <w:r w:rsidR="00C25F43" w:rsidRPr="00C25F43">
        <w:t xml:space="preserve"> incluido</w:t>
      </w:r>
      <w:r w:rsidR="00747A34">
        <w:t>s</w:t>
      </w:r>
      <w:r w:rsidR="00C25F43" w:rsidRPr="00C25F43">
        <w:t xml:space="preserve"> en las bolsas conformadas en virtud de la Resolución de 27 de septiembre de 2022, por la que se aprueba la convocatoria para la provisión de bolsas de sustitución para la contratación de profesorado sustituto en régimen de derecho laboral (BOC, nº 200, de 07.10.2022), se efectuará sin tener en cuenta la puntuación mínima de 50 puntos</w:t>
      </w:r>
      <w:r w:rsidR="00B22929">
        <w:t xml:space="preserve"> exigida</w:t>
      </w:r>
      <w:r w:rsidR="00C25F43" w:rsidRPr="00C25F43">
        <w:t xml:space="preserve">.  </w:t>
      </w:r>
    </w:p>
    <w:p w14:paraId="7825D814" w14:textId="77777777" w:rsidR="00C25F43" w:rsidRPr="001A23A1" w:rsidRDefault="00C25F43" w:rsidP="00B9542D">
      <w:pPr>
        <w:pStyle w:val="Ttulo1"/>
        <w:tabs>
          <w:tab w:val="left" w:pos="734"/>
          <w:tab w:val="left" w:pos="1443"/>
          <w:tab w:val="left" w:pos="1795"/>
          <w:tab w:val="left" w:pos="2154"/>
          <w:tab w:val="left" w:pos="2454"/>
          <w:tab w:val="left" w:pos="2698"/>
          <w:tab w:val="left" w:pos="3810"/>
          <w:tab w:val="left" w:pos="4610"/>
          <w:tab w:val="left" w:pos="4642"/>
          <w:tab w:val="left" w:pos="5144"/>
          <w:tab w:val="left" w:pos="5174"/>
          <w:tab w:val="left" w:pos="6895"/>
          <w:tab w:val="left" w:pos="7036"/>
          <w:tab w:val="left" w:pos="7438"/>
          <w:tab w:val="left" w:pos="8572"/>
        </w:tabs>
        <w:spacing w:before="76" w:after="280"/>
        <w:ind w:right="116"/>
        <w:jc w:val="both"/>
        <w:rPr>
          <w:rFonts w:asciiTheme="minorHAnsi" w:hAnsiTheme="minorHAnsi" w:cstheme="minorHAnsi"/>
          <w:bCs w:val="0"/>
          <w:sz w:val="20"/>
          <w:szCs w:val="20"/>
        </w:rPr>
      </w:pPr>
      <w:r w:rsidRPr="001A23A1">
        <w:rPr>
          <w:rFonts w:asciiTheme="minorHAnsi" w:hAnsiTheme="minorHAnsi" w:cstheme="minorHAnsi"/>
          <w:bCs w:val="0"/>
          <w:sz w:val="20"/>
          <w:szCs w:val="20"/>
        </w:rPr>
        <w:t xml:space="preserve">Disposición final </w:t>
      </w:r>
      <w:r w:rsidR="001A23A1" w:rsidRPr="001A23A1">
        <w:rPr>
          <w:rFonts w:asciiTheme="minorHAnsi" w:hAnsiTheme="minorHAnsi" w:cstheme="minorHAnsi"/>
          <w:bCs w:val="0"/>
          <w:sz w:val="20"/>
          <w:szCs w:val="20"/>
        </w:rPr>
        <w:t xml:space="preserve">única. </w:t>
      </w:r>
      <w:r w:rsidR="001A23A1" w:rsidRPr="001A23A1">
        <w:rPr>
          <w:rFonts w:asciiTheme="minorHAnsi" w:hAnsiTheme="minorHAnsi" w:cstheme="minorHAnsi"/>
          <w:bCs w:val="0"/>
          <w:i/>
          <w:sz w:val="20"/>
          <w:szCs w:val="20"/>
        </w:rPr>
        <w:t>Entrada en vigor.</w:t>
      </w:r>
      <w:r w:rsidRPr="001A23A1">
        <w:rPr>
          <w:rFonts w:asciiTheme="minorHAnsi" w:hAnsiTheme="minorHAnsi" w:cstheme="minorHAnsi"/>
          <w:bCs w:val="0"/>
          <w:sz w:val="20"/>
          <w:szCs w:val="20"/>
        </w:rPr>
        <w:t xml:space="preserve"> </w:t>
      </w:r>
    </w:p>
    <w:p w14:paraId="5EDF6BC7" w14:textId="77777777" w:rsidR="00747A34" w:rsidRDefault="00747A34" w:rsidP="00B9542D">
      <w:pPr>
        <w:pStyle w:val="Ttulo1"/>
        <w:tabs>
          <w:tab w:val="left" w:pos="734"/>
          <w:tab w:val="left" w:pos="1443"/>
          <w:tab w:val="left" w:pos="1795"/>
          <w:tab w:val="left" w:pos="2154"/>
          <w:tab w:val="left" w:pos="2454"/>
          <w:tab w:val="left" w:pos="2698"/>
          <w:tab w:val="left" w:pos="3810"/>
          <w:tab w:val="left" w:pos="4610"/>
          <w:tab w:val="left" w:pos="4642"/>
          <w:tab w:val="left" w:pos="5144"/>
          <w:tab w:val="left" w:pos="5174"/>
          <w:tab w:val="left" w:pos="6895"/>
          <w:tab w:val="left" w:pos="7036"/>
          <w:tab w:val="left" w:pos="7438"/>
          <w:tab w:val="left" w:pos="8572"/>
        </w:tabs>
        <w:spacing w:before="76" w:after="280"/>
        <w:ind w:right="116"/>
        <w:jc w:val="both"/>
        <w:rPr>
          <w:rFonts w:asciiTheme="minorHAnsi" w:hAnsiTheme="minorHAnsi" w:cstheme="minorHAnsi"/>
          <w:b w:val="0"/>
          <w:bCs w:val="0"/>
          <w:sz w:val="20"/>
          <w:szCs w:val="20"/>
        </w:rPr>
      </w:pPr>
      <w:r w:rsidRPr="00BF4C0A">
        <w:rPr>
          <w:rFonts w:asciiTheme="minorHAnsi" w:hAnsiTheme="minorHAnsi" w:cstheme="minorHAnsi"/>
          <w:b w:val="0"/>
          <w:bCs w:val="0"/>
          <w:sz w:val="20"/>
          <w:szCs w:val="20"/>
        </w:rPr>
        <w:t>Este Acuerdo entrará en vigor el mismo día de su publicación en el BO</w:t>
      </w:r>
      <w:r w:rsidR="00BE3D48" w:rsidRPr="00BF4C0A">
        <w:rPr>
          <w:rFonts w:asciiTheme="minorHAnsi" w:hAnsiTheme="minorHAnsi" w:cstheme="minorHAnsi"/>
          <w:b w:val="0"/>
          <w:bCs w:val="0"/>
          <w:sz w:val="20"/>
          <w:szCs w:val="20"/>
        </w:rPr>
        <w:t>U</w:t>
      </w:r>
      <w:r w:rsidRPr="00BF4C0A">
        <w:rPr>
          <w:rFonts w:asciiTheme="minorHAnsi" w:hAnsiTheme="minorHAnsi" w:cstheme="minorHAnsi"/>
          <w:b w:val="0"/>
          <w:bCs w:val="0"/>
          <w:sz w:val="20"/>
          <w:szCs w:val="20"/>
        </w:rPr>
        <w:t>LPGC</w:t>
      </w:r>
    </w:p>
    <w:p w14:paraId="3C369C84" w14:textId="77777777" w:rsidR="00747A34" w:rsidRPr="004F3021" w:rsidRDefault="00747A34" w:rsidP="00B9542D">
      <w:pPr>
        <w:pStyle w:val="Ttulo1"/>
        <w:tabs>
          <w:tab w:val="left" w:pos="734"/>
          <w:tab w:val="left" w:pos="1443"/>
          <w:tab w:val="left" w:pos="1795"/>
          <w:tab w:val="left" w:pos="2154"/>
          <w:tab w:val="left" w:pos="2454"/>
          <w:tab w:val="left" w:pos="2698"/>
          <w:tab w:val="left" w:pos="3810"/>
          <w:tab w:val="left" w:pos="4610"/>
          <w:tab w:val="left" w:pos="4642"/>
          <w:tab w:val="left" w:pos="5144"/>
          <w:tab w:val="left" w:pos="5174"/>
          <w:tab w:val="left" w:pos="6895"/>
          <w:tab w:val="left" w:pos="7036"/>
          <w:tab w:val="left" w:pos="7438"/>
          <w:tab w:val="left" w:pos="8572"/>
        </w:tabs>
        <w:spacing w:before="76" w:after="280"/>
        <w:ind w:right="116"/>
        <w:jc w:val="both"/>
        <w:rPr>
          <w:rFonts w:asciiTheme="minorHAnsi" w:hAnsiTheme="minorHAnsi" w:cstheme="minorHAnsi"/>
          <w:b w:val="0"/>
          <w:bCs w:val="0"/>
          <w:sz w:val="20"/>
          <w:szCs w:val="20"/>
        </w:rPr>
      </w:pPr>
    </w:p>
    <w:p w14:paraId="161F4B06" w14:textId="77777777" w:rsidR="00B9542D" w:rsidRDefault="00B9542D" w:rsidP="00B9542D">
      <w:pPr>
        <w:pStyle w:val="Ttulo1"/>
        <w:tabs>
          <w:tab w:val="left" w:pos="734"/>
          <w:tab w:val="left" w:pos="1443"/>
          <w:tab w:val="left" w:pos="1795"/>
          <w:tab w:val="left" w:pos="2154"/>
          <w:tab w:val="left" w:pos="2454"/>
          <w:tab w:val="left" w:pos="2698"/>
          <w:tab w:val="left" w:pos="3810"/>
          <w:tab w:val="left" w:pos="4610"/>
          <w:tab w:val="left" w:pos="4642"/>
          <w:tab w:val="left" w:pos="5144"/>
          <w:tab w:val="left" w:pos="5174"/>
          <w:tab w:val="left" w:pos="6895"/>
          <w:tab w:val="left" w:pos="7036"/>
          <w:tab w:val="left" w:pos="7438"/>
          <w:tab w:val="left" w:pos="8572"/>
        </w:tabs>
        <w:spacing w:before="76" w:after="280"/>
        <w:ind w:right="116"/>
        <w:jc w:val="both"/>
        <w:rPr>
          <w:rFonts w:asciiTheme="minorHAnsi" w:hAnsiTheme="minorHAnsi" w:cstheme="minorHAnsi"/>
          <w:bCs w:val="0"/>
          <w:sz w:val="22"/>
          <w:szCs w:val="22"/>
        </w:rPr>
      </w:pPr>
    </w:p>
    <w:p w14:paraId="498DDB34" w14:textId="77777777" w:rsidR="00B9542D" w:rsidRDefault="00B9542D" w:rsidP="00B9542D">
      <w:pPr>
        <w:pStyle w:val="Ttulo1"/>
        <w:tabs>
          <w:tab w:val="left" w:pos="734"/>
          <w:tab w:val="left" w:pos="1443"/>
          <w:tab w:val="left" w:pos="1795"/>
          <w:tab w:val="left" w:pos="2154"/>
          <w:tab w:val="left" w:pos="2454"/>
          <w:tab w:val="left" w:pos="2698"/>
          <w:tab w:val="left" w:pos="3810"/>
          <w:tab w:val="left" w:pos="4610"/>
          <w:tab w:val="left" w:pos="4642"/>
          <w:tab w:val="left" w:pos="5144"/>
          <w:tab w:val="left" w:pos="5174"/>
          <w:tab w:val="left" w:pos="6895"/>
          <w:tab w:val="left" w:pos="7036"/>
          <w:tab w:val="left" w:pos="7438"/>
          <w:tab w:val="left" w:pos="8572"/>
        </w:tabs>
        <w:spacing w:before="76" w:after="280"/>
        <w:ind w:right="116"/>
        <w:jc w:val="both"/>
        <w:rPr>
          <w:rFonts w:eastAsia="Calibri"/>
          <w:b w:val="0"/>
          <w:sz w:val="24"/>
          <w:szCs w:val="24"/>
        </w:rPr>
      </w:pPr>
    </w:p>
    <w:p w14:paraId="621F324E" w14:textId="77777777" w:rsidR="001B6821" w:rsidRDefault="001B6821"/>
    <w:sectPr w:rsidR="001B68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ABA78" w14:textId="77777777" w:rsidR="0051774E" w:rsidRDefault="0051774E" w:rsidP="00B9542D">
      <w:pPr>
        <w:spacing w:after="0" w:line="240" w:lineRule="auto"/>
      </w:pPr>
      <w:r>
        <w:separator/>
      </w:r>
    </w:p>
  </w:endnote>
  <w:endnote w:type="continuationSeparator" w:id="0">
    <w:p w14:paraId="78B946AE" w14:textId="77777777" w:rsidR="0051774E" w:rsidRDefault="0051774E" w:rsidP="00B95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FE05B" w14:textId="77777777" w:rsidR="0051774E" w:rsidRDefault="0051774E" w:rsidP="00B9542D">
      <w:pPr>
        <w:spacing w:after="0" w:line="240" w:lineRule="auto"/>
      </w:pPr>
      <w:r>
        <w:separator/>
      </w:r>
    </w:p>
  </w:footnote>
  <w:footnote w:type="continuationSeparator" w:id="0">
    <w:p w14:paraId="3D663643" w14:textId="77777777" w:rsidR="0051774E" w:rsidRDefault="0051774E" w:rsidP="00B95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98C"/>
    <w:multiLevelType w:val="hybridMultilevel"/>
    <w:tmpl w:val="BF34E9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FB357FD"/>
    <w:multiLevelType w:val="hybridMultilevel"/>
    <w:tmpl w:val="7CBEFCBC"/>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 w15:restartNumberingAfterBreak="0">
    <w:nsid w:val="5AFC4896"/>
    <w:multiLevelType w:val="hybridMultilevel"/>
    <w:tmpl w:val="02FE0604"/>
    <w:lvl w:ilvl="0" w:tplc="0C0A0013">
      <w:start w:val="1"/>
      <w:numFmt w:val="upperRoman"/>
      <w:lvlText w:val="%1."/>
      <w:lvlJc w:val="righ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18107183">
    <w:abstractNumId w:val="1"/>
  </w:num>
  <w:num w:numId="2" w16cid:durableId="460198895">
    <w:abstractNumId w:val="2"/>
  </w:num>
  <w:num w:numId="3" w16cid:durableId="721295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821"/>
    <w:rsid w:val="000C1A0B"/>
    <w:rsid w:val="00141B86"/>
    <w:rsid w:val="001A23A1"/>
    <w:rsid w:val="001B6821"/>
    <w:rsid w:val="00202E9F"/>
    <w:rsid w:val="00275857"/>
    <w:rsid w:val="00454BBB"/>
    <w:rsid w:val="004F3021"/>
    <w:rsid w:val="0051774E"/>
    <w:rsid w:val="005914B1"/>
    <w:rsid w:val="005B2D25"/>
    <w:rsid w:val="00747A34"/>
    <w:rsid w:val="00785908"/>
    <w:rsid w:val="0079515B"/>
    <w:rsid w:val="007A7BFE"/>
    <w:rsid w:val="007D0164"/>
    <w:rsid w:val="00B22929"/>
    <w:rsid w:val="00B9542D"/>
    <w:rsid w:val="00BE3D48"/>
    <w:rsid w:val="00BF4C0A"/>
    <w:rsid w:val="00C25F43"/>
    <w:rsid w:val="00D108EF"/>
    <w:rsid w:val="00D61B31"/>
    <w:rsid w:val="00E65B25"/>
    <w:rsid w:val="00EC0E00"/>
    <w:rsid w:val="00F026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B693F"/>
  <w15:chartTrackingRefBased/>
  <w15:docId w15:val="{A837F027-1CB2-42B6-B26D-8B7953AE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qFormat/>
    <w:rsid w:val="001B6821"/>
    <w:pPr>
      <w:spacing w:beforeAutospacing="1" w:after="0" w:afterAutospacing="1" w:line="240" w:lineRule="auto"/>
      <w:outlineLvl w:val="0"/>
    </w:pPr>
    <w:rPr>
      <w:rFonts w:ascii="Times New Roman" w:eastAsia="Times New Roman" w:hAnsi="Times New Roman" w:cs="Times New Roman"/>
      <w:b/>
      <w:bCs/>
      <w:kern w:val="2"/>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B6821"/>
    <w:rPr>
      <w:rFonts w:ascii="Times New Roman" w:eastAsia="Times New Roman" w:hAnsi="Times New Roman" w:cs="Times New Roman"/>
      <w:b/>
      <w:bCs/>
      <w:kern w:val="2"/>
      <w:sz w:val="48"/>
      <w:szCs w:val="48"/>
      <w:lang w:eastAsia="es-ES"/>
    </w:rPr>
  </w:style>
  <w:style w:type="character" w:styleId="Refdenotaalpie">
    <w:name w:val="footnote reference"/>
    <w:basedOn w:val="Fuentedeprrafopredeter"/>
    <w:uiPriority w:val="99"/>
    <w:semiHidden/>
    <w:unhideWhenUsed/>
    <w:rsid w:val="00B9542D"/>
    <w:rPr>
      <w:vertAlign w:val="superscript"/>
    </w:rPr>
  </w:style>
  <w:style w:type="character" w:customStyle="1" w:styleId="TextonotapieCar">
    <w:name w:val="Texto nota pie Car"/>
    <w:basedOn w:val="Fuentedeprrafopredeter"/>
    <w:link w:val="Textonotapie"/>
    <w:uiPriority w:val="99"/>
    <w:rsid w:val="00B9542D"/>
    <w:rPr>
      <w:sz w:val="20"/>
      <w:szCs w:val="20"/>
    </w:rPr>
  </w:style>
  <w:style w:type="paragraph" w:styleId="Textonotapie">
    <w:name w:val="footnote text"/>
    <w:basedOn w:val="Normal"/>
    <w:link w:val="TextonotapieCar"/>
    <w:uiPriority w:val="99"/>
    <w:unhideWhenUsed/>
    <w:rsid w:val="00B9542D"/>
    <w:pPr>
      <w:spacing w:after="0" w:line="240" w:lineRule="auto"/>
    </w:pPr>
    <w:rPr>
      <w:sz w:val="20"/>
      <w:szCs w:val="20"/>
    </w:rPr>
  </w:style>
  <w:style w:type="character" w:customStyle="1" w:styleId="TextonotapieCar1">
    <w:name w:val="Texto nota pie Car1"/>
    <w:basedOn w:val="Fuentedeprrafopredeter"/>
    <w:uiPriority w:val="99"/>
    <w:semiHidden/>
    <w:rsid w:val="00B9542D"/>
    <w:rPr>
      <w:sz w:val="20"/>
      <w:szCs w:val="20"/>
    </w:rPr>
  </w:style>
  <w:style w:type="paragraph" w:styleId="Prrafodelista">
    <w:name w:val="List Paragraph"/>
    <w:basedOn w:val="Normal"/>
    <w:uiPriority w:val="34"/>
    <w:qFormat/>
    <w:rsid w:val="00202E9F"/>
    <w:pPr>
      <w:ind w:left="720"/>
      <w:contextualSpacing/>
    </w:pPr>
  </w:style>
  <w:style w:type="table" w:styleId="Tablaconcuadrcula">
    <w:name w:val="Table Grid"/>
    <w:basedOn w:val="Tablanormal"/>
    <w:uiPriority w:val="39"/>
    <w:rsid w:val="00202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F4C0A"/>
    <w:rPr>
      <w:sz w:val="16"/>
      <w:szCs w:val="16"/>
    </w:rPr>
  </w:style>
  <w:style w:type="paragraph" w:styleId="Textocomentario">
    <w:name w:val="annotation text"/>
    <w:basedOn w:val="Normal"/>
    <w:link w:val="TextocomentarioCar"/>
    <w:uiPriority w:val="99"/>
    <w:semiHidden/>
    <w:unhideWhenUsed/>
    <w:rsid w:val="00BF4C0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4C0A"/>
    <w:rPr>
      <w:sz w:val="20"/>
      <w:szCs w:val="20"/>
    </w:rPr>
  </w:style>
  <w:style w:type="paragraph" w:styleId="Asuntodelcomentario">
    <w:name w:val="annotation subject"/>
    <w:basedOn w:val="Textocomentario"/>
    <w:next w:val="Textocomentario"/>
    <w:link w:val="AsuntodelcomentarioCar"/>
    <w:uiPriority w:val="99"/>
    <w:semiHidden/>
    <w:unhideWhenUsed/>
    <w:rsid w:val="00BF4C0A"/>
    <w:rPr>
      <w:b/>
      <w:bCs/>
    </w:rPr>
  </w:style>
  <w:style w:type="character" w:customStyle="1" w:styleId="AsuntodelcomentarioCar">
    <w:name w:val="Asunto del comentario Car"/>
    <w:basedOn w:val="TextocomentarioCar"/>
    <w:link w:val="Asuntodelcomentario"/>
    <w:uiPriority w:val="99"/>
    <w:semiHidden/>
    <w:rsid w:val="00BF4C0A"/>
    <w:rPr>
      <w:b/>
      <w:bCs/>
      <w:sz w:val="20"/>
      <w:szCs w:val="20"/>
    </w:rPr>
  </w:style>
  <w:style w:type="paragraph" w:styleId="Textodeglobo">
    <w:name w:val="Balloon Text"/>
    <w:basedOn w:val="Normal"/>
    <w:link w:val="TextodegloboCar"/>
    <w:uiPriority w:val="99"/>
    <w:semiHidden/>
    <w:unhideWhenUsed/>
    <w:rsid w:val="00BF4C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4C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3810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Apolinario Hidalgo</dc:creator>
  <cp:keywords/>
  <dc:description/>
  <cp:lastModifiedBy>María Teresa Morant De Diego</cp:lastModifiedBy>
  <cp:revision>2</cp:revision>
  <dcterms:created xsi:type="dcterms:W3CDTF">2023-01-22T11:51:00Z</dcterms:created>
  <dcterms:modified xsi:type="dcterms:W3CDTF">2023-01-22T11:51:00Z</dcterms:modified>
</cp:coreProperties>
</file>