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935BE" w14:textId="77777777" w:rsidR="00C20BD9" w:rsidRDefault="00C20BD9">
      <w:pPr>
        <w:spacing w:after="120" w:line="240" w:lineRule="auto"/>
        <w:rPr>
          <w:b/>
          <w:bCs/>
          <w:sz w:val="32"/>
          <w:szCs w:val="32"/>
        </w:rPr>
      </w:pPr>
    </w:p>
    <w:p w14:paraId="620F9669" w14:textId="77777777" w:rsidR="00C20BD9" w:rsidRDefault="00000000">
      <w:pPr>
        <w:tabs>
          <w:tab w:val="left" w:pos="2777"/>
        </w:tabs>
        <w:spacing w:after="120" w:line="240" w:lineRule="auto"/>
      </w:pPr>
      <w:r>
        <w:rPr>
          <w:noProof/>
        </w:rPr>
        <w:drawing>
          <wp:inline distT="0" distB="0" distL="0" distR="0" wp14:anchorId="1C2A97DC" wp14:editId="29108C78">
            <wp:extent cx="2272668" cy="470531"/>
            <wp:effectExtent l="0" t="0" r="0" b="5719"/>
            <wp:docPr id="1" name="Imagen 23" descr="D:\Escritorio\logo_ulpgc_horizontal_acronimo_2t.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l="9985" t="26878" b="24036"/>
                    <a:stretch>
                      <a:fillRect/>
                    </a:stretch>
                  </pic:blipFill>
                  <pic:spPr>
                    <a:xfrm>
                      <a:off x="0" y="0"/>
                      <a:ext cx="2272668" cy="470531"/>
                    </a:xfrm>
                    <a:prstGeom prst="rect">
                      <a:avLst/>
                    </a:prstGeom>
                    <a:noFill/>
                    <a:ln>
                      <a:noFill/>
                      <a:prstDash/>
                    </a:ln>
                  </pic:spPr>
                </pic:pic>
              </a:graphicData>
            </a:graphic>
          </wp:inline>
        </w:drawing>
      </w:r>
      <w:r>
        <w:rPr>
          <w:b/>
          <w:bCs/>
          <w:sz w:val="32"/>
          <w:szCs w:val="32"/>
        </w:rPr>
        <w:tab/>
      </w:r>
    </w:p>
    <w:p w14:paraId="0B0A1290" w14:textId="77777777" w:rsidR="00C20BD9" w:rsidRDefault="00C20BD9">
      <w:pPr>
        <w:spacing w:after="120" w:line="240" w:lineRule="auto"/>
        <w:jc w:val="center"/>
        <w:rPr>
          <w:b/>
          <w:bCs/>
          <w:sz w:val="28"/>
          <w:szCs w:val="28"/>
        </w:rPr>
      </w:pPr>
    </w:p>
    <w:p w14:paraId="6960DE1B" w14:textId="77777777" w:rsidR="004C1EFD" w:rsidRDefault="004C1EFD">
      <w:pPr>
        <w:spacing w:after="120" w:line="240" w:lineRule="auto"/>
        <w:jc w:val="center"/>
        <w:rPr>
          <w:b/>
          <w:bCs/>
          <w:color w:val="323E4F"/>
          <w:sz w:val="32"/>
          <w:szCs w:val="32"/>
        </w:rPr>
      </w:pPr>
    </w:p>
    <w:p w14:paraId="5AFC60ED" w14:textId="58FDA8AA" w:rsidR="003035A7" w:rsidRPr="00DC383F" w:rsidRDefault="00000000" w:rsidP="004C1EFD">
      <w:pPr>
        <w:spacing w:after="120" w:line="240" w:lineRule="auto"/>
        <w:ind w:right="-852"/>
        <w:jc w:val="center"/>
        <w:rPr>
          <w:b/>
          <w:bCs/>
          <w:color w:val="323E4F"/>
          <w:sz w:val="36"/>
          <w:szCs w:val="36"/>
        </w:rPr>
      </w:pPr>
      <w:r w:rsidRPr="00DC383F">
        <w:rPr>
          <w:b/>
          <w:bCs/>
          <w:color w:val="323E4F"/>
          <w:sz w:val="36"/>
          <w:szCs w:val="36"/>
        </w:rPr>
        <w:t xml:space="preserve">ACUERDOS </w:t>
      </w:r>
      <w:r w:rsidR="004C1EFD" w:rsidRPr="00DC383F">
        <w:rPr>
          <w:b/>
          <w:bCs/>
          <w:color w:val="323E4F"/>
          <w:sz w:val="36"/>
          <w:szCs w:val="36"/>
        </w:rPr>
        <w:t>ADOPTADOS POR E</w:t>
      </w:r>
      <w:r w:rsidRPr="00DC383F">
        <w:rPr>
          <w:b/>
          <w:bCs/>
          <w:color w:val="323E4F"/>
          <w:sz w:val="36"/>
          <w:szCs w:val="36"/>
        </w:rPr>
        <w:t>L CLAUSTRO DE LA</w:t>
      </w:r>
      <w:r w:rsidR="004C1EFD" w:rsidRPr="00DC383F">
        <w:rPr>
          <w:b/>
          <w:bCs/>
          <w:color w:val="323E4F"/>
          <w:sz w:val="36"/>
          <w:szCs w:val="36"/>
        </w:rPr>
        <w:t xml:space="preserve"> </w:t>
      </w:r>
      <w:r w:rsidR="003035A7" w:rsidRPr="00DC383F">
        <w:rPr>
          <w:b/>
          <w:bCs/>
          <w:color w:val="323E4F"/>
          <w:sz w:val="36"/>
          <w:szCs w:val="36"/>
        </w:rPr>
        <w:t xml:space="preserve">                                     </w:t>
      </w:r>
      <w:r w:rsidR="004C1EFD" w:rsidRPr="00DC383F">
        <w:rPr>
          <w:b/>
          <w:bCs/>
          <w:color w:val="323E4F"/>
          <w:sz w:val="36"/>
          <w:szCs w:val="36"/>
        </w:rPr>
        <w:t>UNIVERSIDAD</w:t>
      </w:r>
      <w:r w:rsidR="003035A7" w:rsidRPr="00DC383F">
        <w:rPr>
          <w:b/>
          <w:bCs/>
          <w:color w:val="323E4F"/>
          <w:sz w:val="36"/>
          <w:szCs w:val="36"/>
        </w:rPr>
        <w:t xml:space="preserve"> </w:t>
      </w:r>
      <w:r w:rsidR="004C1EFD" w:rsidRPr="00DC383F">
        <w:rPr>
          <w:b/>
          <w:bCs/>
          <w:color w:val="323E4F"/>
          <w:sz w:val="36"/>
          <w:szCs w:val="36"/>
        </w:rPr>
        <w:t>DE LAS PALMAS DE GRAN CANARIA</w:t>
      </w:r>
      <w:r w:rsidRPr="00DC383F">
        <w:rPr>
          <w:b/>
          <w:bCs/>
          <w:color w:val="323E4F"/>
          <w:sz w:val="36"/>
          <w:szCs w:val="36"/>
        </w:rPr>
        <w:t xml:space="preserve"> </w:t>
      </w:r>
    </w:p>
    <w:p w14:paraId="17496DD0" w14:textId="1E78B2CD" w:rsidR="00C20BD9" w:rsidRPr="003035A7" w:rsidRDefault="00DC383F" w:rsidP="003035A7">
      <w:pPr>
        <w:pStyle w:val="Prrafodelista"/>
        <w:numPr>
          <w:ilvl w:val="0"/>
          <w:numId w:val="3"/>
        </w:numPr>
        <w:spacing w:after="120" w:line="240" w:lineRule="auto"/>
        <w:ind w:right="-852"/>
        <w:jc w:val="center"/>
        <w:rPr>
          <w:b/>
          <w:bCs/>
          <w:color w:val="323E4F"/>
          <w:sz w:val="32"/>
          <w:szCs w:val="32"/>
        </w:rPr>
      </w:pPr>
      <w:r>
        <w:rPr>
          <w:b/>
          <w:bCs/>
          <w:color w:val="323E4F"/>
          <w:sz w:val="32"/>
          <w:szCs w:val="32"/>
        </w:rPr>
        <w:t xml:space="preserve">AÑO </w:t>
      </w:r>
      <w:r w:rsidRPr="003035A7">
        <w:rPr>
          <w:b/>
          <w:bCs/>
          <w:color w:val="323E4F"/>
          <w:sz w:val="32"/>
          <w:szCs w:val="32"/>
        </w:rPr>
        <w:t>2022</w:t>
      </w:r>
      <w:r w:rsidR="003035A7">
        <w:rPr>
          <w:b/>
          <w:bCs/>
          <w:color w:val="323E4F"/>
          <w:sz w:val="32"/>
          <w:szCs w:val="32"/>
        </w:rPr>
        <w:t xml:space="preserve">  </w:t>
      </w:r>
      <w:r>
        <w:rPr>
          <w:b/>
          <w:bCs/>
          <w:color w:val="323E4F"/>
          <w:sz w:val="32"/>
          <w:szCs w:val="32"/>
        </w:rPr>
        <w:t xml:space="preserve"> </w:t>
      </w:r>
      <w:r w:rsidR="003035A7">
        <w:rPr>
          <w:b/>
          <w:bCs/>
          <w:color w:val="323E4F"/>
          <w:sz w:val="32"/>
          <w:szCs w:val="32"/>
        </w:rPr>
        <w:t>-</w:t>
      </w:r>
    </w:p>
    <w:p w14:paraId="30354FF1" w14:textId="77777777" w:rsidR="00C36414" w:rsidRDefault="00C36414" w:rsidP="004C1EFD">
      <w:pPr>
        <w:ind w:left="851"/>
        <w:jc w:val="both"/>
        <w:rPr>
          <w:rFonts w:ascii="Arial" w:hAnsi="Arial" w:cs="Arial"/>
          <w:b/>
          <w:bCs/>
        </w:rPr>
      </w:pPr>
    </w:p>
    <w:p w14:paraId="63C6B224" w14:textId="77777777" w:rsidR="00C36414" w:rsidRDefault="00C36414" w:rsidP="004C1EFD">
      <w:pPr>
        <w:ind w:left="851"/>
        <w:jc w:val="both"/>
        <w:rPr>
          <w:rFonts w:ascii="Arial" w:hAnsi="Arial" w:cs="Arial"/>
          <w:b/>
          <w:bCs/>
        </w:rPr>
      </w:pPr>
    </w:p>
    <w:p w14:paraId="0494C52A" w14:textId="77777777" w:rsidR="00C36414" w:rsidRDefault="00C36414" w:rsidP="004C1EFD">
      <w:pPr>
        <w:ind w:left="851"/>
        <w:jc w:val="both"/>
        <w:rPr>
          <w:rFonts w:ascii="Arial" w:hAnsi="Arial" w:cs="Arial"/>
          <w:b/>
          <w:bCs/>
        </w:rPr>
      </w:pPr>
    </w:p>
    <w:p w14:paraId="29CCAA73" w14:textId="29109129" w:rsidR="00C36414" w:rsidRPr="00C36414" w:rsidRDefault="00C36414" w:rsidP="004C1EFD">
      <w:pPr>
        <w:ind w:left="851"/>
        <w:jc w:val="both"/>
        <w:rPr>
          <w:rFonts w:ascii="Arial" w:hAnsi="Arial" w:cs="Arial"/>
        </w:rPr>
      </w:pPr>
      <w:r w:rsidRPr="00C36414">
        <w:rPr>
          <w:rFonts w:ascii="Arial" w:hAnsi="Arial" w:cs="Arial"/>
          <w:b/>
          <w:bCs/>
        </w:rPr>
        <w:t xml:space="preserve">Reunión Extraordinaria de 19 de julio. </w:t>
      </w:r>
      <w:r w:rsidRPr="00C36414">
        <w:rPr>
          <w:rFonts w:ascii="Arial" w:hAnsi="Arial" w:cs="Arial"/>
        </w:rPr>
        <w:t>Debate monográfico sobre el estado de la ULPGC. No hay acuerdos.</w:t>
      </w:r>
      <w:r>
        <w:rPr>
          <w:rFonts w:ascii="Arial" w:hAnsi="Arial" w:cs="Arial"/>
        </w:rPr>
        <w:t xml:space="preserve"> </w:t>
      </w:r>
      <w:hyperlink r:id="rId8" w:history="1">
        <w:r w:rsidRPr="00C36414">
          <w:rPr>
            <w:rStyle w:val="Hipervnculo"/>
            <w:rFonts w:ascii="Arial" w:hAnsi="Arial" w:cs="Arial"/>
          </w:rPr>
          <w:t>Acta nº 129</w:t>
        </w:r>
      </w:hyperlink>
      <w:r>
        <w:rPr>
          <w:rFonts w:ascii="Arial" w:hAnsi="Arial" w:cs="Arial"/>
        </w:rPr>
        <w:t>.</w:t>
      </w:r>
    </w:p>
    <w:p w14:paraId="7E6FFA05" w14:textId="77777777" w:rsidR="00C36414" w:rsidRDefault="00C36414" w:rsidP="004C1EFD">
      <w:pPr>
        <w:ind w:left="851"/>
        <w:jc w:val="both"/>
        <w:rPr>
          <w:rFonts w:ascii="Arial" w:hAnsi="Arial" w:cs="Arial"/>
          <w:b/>
          <w:bCs/>
        </w:rPr>
      </w:pPr>
    </w:p>
    <w:p w14:paraId="69B2A9E6" w14:textId="77777777" w:rsidR="00C36414" w:rsidRDefault="00C36414" w:rsidP="004C1EFD">
      <w:pPr>
        <w:ind w:left="851"/>
        <w:jc w:val="both"/>
        <w:rPr>
          <w:rFonts w:ascii="Arial" w:hAnsi="Arial" w:cs="Arial"/>
          <w:b/>
          <w:bCs/>
        </w:rPr>
      </w:pPr>
    </w:p>
    <w:p w14:paraId="7F6D78EB" w14:textId="7C7ECF3C" w:rsidR="00C20BD9" w:rsidRDefault="00000000" w:rsidP="004C1EFD">
      <w:pPr>
        <w:ind w:left="851"/>
        <w:jc w:val="both"/>
      </w:pPr>
      <w:r>
        <w:rPr>
          <w:rFonts w:ascii="Arial" w:hAnsi="Arial" w:cs="Arial"/>
          <w:b/>
          <w:bCs/>
        </w:rPr>
        <w:t xml:space="preserve">Reunión de 23 de mayo de 2022 </w:t>
      </w:r>
      <w:r>
        <w:rPr>
          <w:rFonts w:ascii="Arial" w:hAnsi="Arial" w:cs="Arial"/>
        </w:rPr>
        <w:t>(</w:t>
      </w:r>
      <w:hyperlink r:id="rId9" w:anchor="%5B%7B%22num%22%3A41%2C%22gen%22%3A0%7D%2C%7B%22name%22%3A%22Fit%22%7D%5D" w:history="1">
        <w:r w:rsidRPr="004C1EFD">
          <w:rPr>
            <w:rStyle w:val="Hipervnculo"/>
            <w:rFonts w:ascii="Arial" w:hAnsi="Arial" w:cs="Arial"/>
          </w:rPr>
          <w:t>BOULPGC de 6 de junio</w:t>
        </w:r>
      </w:hyperlink>
      <w:r>
        <w:rPr>
          <w:rFonts w:ascii="Arial" w:hAnsi="Arial" w:cs="Arial"/>
        </w:rPr>
        <w:t xml:space="preserve">, </w:t>
      </w:r>
      <w:hyperlink r:id="rId10" w:history="1">
        <w:r w:rsidR="00C36414" w:rsidRPr="00C36414">
          <w:rPr>
            <w:rStyle w:val="Hipervnculo"/>
            <w:rFonts w:ascii="Arial" w:hAnsi="Arial" w:cs="Arial"/>
          </w:rPr>
          <w:t>Acta nº 128</w:t>
        </w:r>
      </w:hyperlink>
      <w:r>
        <w:rPr>
          <w:rFonts w:ascii="Arial" w:hAnsi="Arial" w:cs="Arial"/>
        </w:rPr>
        <w:t>)</w:t>
      </w:r>
    </w:p>
    <w:p w14:paraId="25C4BF8A" w14:textId="5217152A" w:rsidR="00C20BD9" w:rsidRDefault="00000000" w:rsidP="004C1EFD">
      <w:pPr>
        <w:pStyle w:val="Prrafodelista"/>
        <w:numPr>
          <w:ilvl w:val="0"/>
          <w:numId w:val="1"/>
        </w:numPr>
        <w:ind w:left="1218"/>
        <w:jc w:val="both"/>
      </w:pPr>
      <w:hyperlink r:id="rId11" w:anchor="%5B%7B%22num%22%3A41%2C%22gen%22%3A0%7D%2C%7B%22name%22%3A%22Fit%22%7D%5D" w:history="1">
        <w:r w:rsidR="004C1EFD" w:rsidRPr="004C1EFD">
          <w:rPr>
            <w:rStyle w:val="Hipervnculo"/>
            <w:rFonts w:ascii="Arial" w:hAnsi="Arial" w:cs="Arial"/>
            <w:lang w:val="es-ES_tradnl"/>
          </w:rPr>
          <w:t>Acuerdo del Claustro de la ULPGC, de 23 de mayo de 2022, por el que se elige a los miembros claustrales del Consejo de Gobierno</w:t>
        </w:r>
      </w:hyperlink>
      <w:r w:rsidR="004C1EFD">
        <w:rPr>
          <w:rFonts w:ascii="Arial" w:hAnsi="Arial" w:cs="Arial"/>
          <w:lang w:val="es-ES_tradnl"/>
        </w:rPr>
        <w:t>.</w:t>
      </w:r>
    </w:p>
    <w:p w14:paraId="07F4E7D4" w14:textId="77777777" w:rsidR="00C20BD9" w:rsidRDefault="00C20BD9" w:rsidP="004C1EFD">
      <w:pPr>
        <w:ind w:left="1218"/>
        <w:jc w:val="both"/>
        <w:rPr>
          <w:rFonts w:ascii="Arial" w:hAnsi="Arial" w:cs="Arial"/>
          <w:b/>
          <w:bCs/>
        </w:rPr>
      </w:pPr>
    </w:p>
    <w:p w14:paraId="0096E1BE" w14:textId="77777777" w:rsidR="00C36414" w:rsidRPr="004C1EFD" w:rsidRDefault="00C36414" w:rsidP="004C1EFD">
      <w:pPr>
        <w:ind w:left="1218"/>
        <w:jc w:val="both"/>
        <w:rPr>
          <w:rFonts w:ascii="Arial" w:hAnsi="Arial" w:cs="Arial"/>
          <w:b/>
          <w:bCs/>
        </w:rPr>
      </w:pPr>
    </w:p>
    <w:p w14:paraId="596E698F" w14:textId="245CBE90" w:rsidR="00C20BD9" w:rsidRDefault="00000000" w:rsidP="004C1EFD">
      <w:pPr>
        <w:ind w:left="861"/>
        <w:jc w:val="both"/>
      </w:pPr>
      <w:r>
        <w:rPr>
          <w:rFonts w:ascii="Arial" w:hAnsi="Arial" w:cs="Arial"/>
          <w:b/>
          <w:bCs/>
        </w:rPr>
        <w:t>Reunión de 27 de abril de 2022</w:t>
      </w:r>
      <w:r>
        <w:rPr>
          <w:rFonts w:ascii="Arial" w:hAnsi="Arial" w:cs="Arial"/>
        </w:rPr>
        <w:t xml:space="preserve"> (</w:t>
      </w:r>
      <w:hyperlink r:id="rId12" w:history="1">
        <w:r>
          <w:rPr>
            <w:rStyle w:val="Hipervnculo"/>
            <w:rFonts w:ascii="Arial" w:hAnsi="Arial" w:cs="Arial"/>
          </w:rPr>
          <w:t>BOULPGC de 9 de mayo</w:t>
        </w:r>
      </w:hyperlink>
      <w:r>
        <w:rPr>
          <w:rFonts w:ascii="Arial" w:hAnsi="Arial" w:cs="Arial"/>
        </w:rPr>
        <w:t xml:space="preserve">, </w:t>
      </w:r>
      <w:hyperlink r:id="rId13" w:history="1">
        <w:r w:rsidR="00C36414" w:rsidRPr="00C36414">
          <w:rPr>
            <w:rStyle w:val="Hipervnculo"/>
            <w:rFonts w:ascii="Arial" w:hAnsi="Arial" w:cs="Arial"/>
          </w:rPr>
          <w:t>Acta nº 127</w:t>
        </w:r>
      </w:hyperlink>
      <w:r>
        <w:rPr>
          <w:rFonts w:ascii="Arial" w:hAnsi="Arial" w:cs="Arial"/>
        </w:rPr>
        <w:t>)</w:t>
      </w:r>
    </w:p>
    <w:p w14:paraId="7BD47FF7" w14:textId="77777777" w:rsidR="00C20BD9" w:rsidRDefault="00000000" w:rsidP="004C1EFD">
      <w:pPr>
        <w:pStyle w:val="Prrafodelista"/>
        <w:widowControl w:val="0"/>
        <w:numPr>
          <w:ilvl w:val="0"/>
          <w:numId w:val="2"/>
        </w:numPr>
        <w:spacing w:after="120" w:line="240" w:lineRule="auto"/>
        <w:ind w:left="1218" w:hanging="357"/>
        <w:contextualSpacing w:val="0"/>
        <w:jc w:val="both"/>
      </w:pPr>
      <w:hyperlink r:id="rId14" w:anchor="%5B%7B%22num%22%3A11%2C%22gen%22%3A0%7D%2C%7B%22name%22%3A%22FitR%22%7D%2C-104%2C289%2C700%2C812%5D" w:history="1">
        <w:r>
          <w:rPr>
            <w:rStyle w:val="Hipervnculo"/>
            <w:rFonts w:ascii="Arial" w:eastAsia="Times New Roman" w:hAnsi="Arial" w:cs="Arial"/>
            <w:bCs/>
            <w:lang w:val="es-ES_tradnl" w:eastAsia="es-ES"/>
          </w:rPr>
          <w:t>Declaración de la constitución del Claustro de la ULPGC, de 27 de abril 2021.</w:t>
        </w:r>
      </w:hyperlink>
    </w:p>
    <w:p w14:paraId="223E31F3" w14:textId="77777777" w:rsidR="00C20BD9" w:rsidRDefault="00000000" w:rsidP="004C1EFD">
      <w:pPr>
        <w:pStyle w:val="Prrafodelista"/>
        <w:widowControl w:val="0"/>
        <w:numPr>
          <w:ilvl w:val="0"/>
          <w:numId w:val="2"/>
        </w:numPr>
        <w:spacing w:after="120" w:line="240" w:lineRule="auto"/>
        <w:ind w:left="1218" w:hanging="357"/>
        <w:contextualSpacing w:val="0"/>
        <w:jc w:val="both"/>
      </w:pPr>
      <w:hyperlink r:id="rId15" w:anchor="%5B%7B%22num%22%3A15%2C%22gen%22%3A0%7D%2C%7B%22name%22%3A%22FitR%22%7D%2C-104%2C289%2C700%2C812%5D" w:history="1">
        <w:r>
          <w:rPr>
            <w:rStyle w:val="Hipervnculo"/>
            <w:rFonts w:ascii="Arial" w:eastAsia="Times New Roman" w:hAnsi="Arial" w:cs="Arial"/>
            <w:bCs/>
            <w:lang w:val="es-ES_tradnl" w:eastAsia="es-ES"/>
          </w:rPr>
          <w:t>Acuerdo del Claustro de la ULPGC, de 27 de abril 2021, por el que se elige a los miembros de la Mesa del Claustro.</w:t>
        </w:r>
      </w:hyperlink>
    </w:p>
    <w:p w14:paraId="470EFDA3" w14:textId="77777777" w:rsidR="00C20BD9" w:rsidRDefault="00000000" w:rsidP="004C1EFD">
      <w:pPr>
        <w:pStyle w:val="Prrafodelista"/>
        <w:widowControl w:val="0"/>
        <w:numPr>
          <w:ilvl w:val="0"/>
          <w:numId w:val="2"/>
        </w:numPr>
        <w:spacing w:after="120" w:line="240" w:lineRule="auto"/>
        <w:ind w:left="1218" w:hanging="357"/>
        <w:contextualSpacing w:val="0"/>
        <w:jc w:val="both"/>
      </w:pPr>
      <w:hyperlink r:id="rId16" w:anchor="%5B%7B%22num%22%3A15%2C%22gen%22%3A0%7D%2C%7B%22name%22%3A%22FitR%22%7D%2C-104%2C-49%2C700%2C473%5D" w:history="1">
        <w:r>
          <w:rPr>
            <w:rStyle w:val="Hipervnculo"/>
            <w:rFonts w:ascii="Arial" w:eastAsia="Times New Roman" w:hAnsi="Arial" w:cs="Arial"/>
            <w:bCs/>
            <w:lang w:val="es-ES_tradnl" w:eastAsia="es-ES"/>
          </w:rPr>
          <w:t>Acuerdo del Claustro de la ULPGC, de 27 de abril 2021, por el que se aprueba el calendario para la elección de representantes del Claustro en el Consejo de Gobierno de la ULPGC.</w:t>
        </w:r>
      </w:hyperlink>
    </w:p>
    <w:p w14:paraId="25251F32" w14:textId="77777777" w:rsidR="00C20BD9" w:rsidRDefault="00000000" w:rsidP="004C1EFD">
      <w:pPr>
        <w:pStyle w:val="Prrafodelista"/>
        <w:widowControl w:val="0"/>
        <w:numPr>
          <w:ilvl w:val="0"/>
          <w:numId w:val="2"/>
        </w:numPr>
        <w:spacing w:after="120" w:line="240" w:lineRule="auto"/>
        <w:ind w:left="1218" w:hanging="357"/>
        <w:contextualSpacing w:val="0"/>
        <w:jc w:val="both"/>
      </w:pPr>
      <w:hyperlink r:id="rId17" w:anchor="%5B%7B%22num%22%3A18%2C%22gen%22%3A0%7D%2C%7B%22name%22%3A%22FitR%22%7D%2C-104%2C356%2C700%2C878%5D" w:history="1">
        <w:r>
          <w:rPr>
            <w:rStyle w:val="Hipervnculo"/>
            <w:rFonts w:ascii="Arial" w:eastAsia="Times New Roman" w:hAnsi="Arial" w:cs="Arial"/>
            <w:bCs/>
            <w:lang w:val="es-ES_tradnl" w:eastAsia="es-ES"/>
          </w:rPr>
          <w:t xml:space="preserve">Acuerdo del Claustro de la ULPGC, de 27 de abril 2021, por el que se aprueba la propuesta de nombramiento de Doctor </w:t>
        </w:r>
        <w:r>
          <w:rPr>
            <w:rStyle w:val="Hipervnculo"/>
            <w:rFonts w:ascii="Arial" w:eastAsia="Times New Roman" w:hAnsi="Arial" w:cs="Arial"/>
            <w:bCs/>
            <w:i/>
            <w:iCs/>
            <w:lang w:val="es-ES_tradnl" w:eastAsia="es-ES"/>
          </w:rPr>
          <w:t>Honoris Causa</w:t>
        </w:r>
        <w:r>
          <w:rPr>
            <w:rStyle w:val="Hipervnculo"/>
            <w:rFonts w:ascii="Arial" w:eastAsia="Times New Roman" w:hAnsi="Arial" w:cs="Arial"/>
            <w:bCs/>
            <w:lang w:val="es-ES_tradnl" w:eastAsia="es-ES"/>
          </w:rPr>
          <w:t xml:space="preserve"> a D. José Domínguez Abascal.</w:t>
        </w:r>
      </w:hyperlink>
    </w:p>
    <w:sectPr w:rsidR="00C20BD9" w:rsidSect="00E06CEA">
      <w:pgSz w:w="11906" w:h="16838"/>
      <w:pgMar w:top="709" w:right="1700" w:bottom="1417"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509D2" w14:textId="77777777" w:rsidR="00E06CEA" w:rsidRDefault="00E06CEA">
      <w:pPr>
        <w:spacing w:after="0" w:line="240" w:lineRule="auto"/>
      </w:pPr>
      <w:r>
        <w:separator/>
      </w:r>
    </w:p>
  </w:endnote>
  <w:endnote w:type="continuationSeparator" w:id="0">
    <w:p w14:paraId="4A7BBCB8" w14:textId="77777777" w:rsidR="00E06CEA" w:rsidRDefault="00E06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CCAC4" w14:textId="77777777" w:rsidR="00E06CEA" w:rsidRDefault="00E06CEA">
      <w:pPr>
        <w:spacing w:after="0" w:line="240" w:lineRule="auto"/>
      </w:pPr>
      <w:r>
        <w:rPr>
          <w:color w:val="000000"/>
        </w:rPr>
        <w:separator/>
      </w:r>
    </w:p>
  </w:footnote>
  <w:footnote w:type="continuationSeparator" w:id="0">
    <w:p w14:paraId="6D0025F6" w14:textId="77777777" w:rsidR="00E06CEA" w:rsidRDefault="00E06C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716A"/>
    <w:multiLevelType w:val="multilevel"/>
    <w:tmpl w:val="73CEFF7C"/>
    <w:lvl w:ilvl="0">
      <w:numFmt w:val="bullet"/>
      <w:lvlText w:val="-"/>
      <w:lvlJc w:val="left"/>
      <w:pPr>
        <w:ind w:left="720" w:hanging="360"/>
      </w:pPr>
      <w:rPr>
        <w:rFonts w:ascii="Calibri Light" w:eastAsia="Times New Roman" w:hAnsi="Calibri Light" w:cs="Times New Roman"/>
        <w:b w:val="0"/>
        <w:spacing w:val="-1"/>
        <w:w w:val="102"/>
        <w:sz w:val="16"/>
        <w:szCs w:val="16"/>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F214ED5"/>
    <w:multiLevelType w:val="multilevel"/>
    <w:tmpl w:val="13785BF2"/>
    <w:lvl w:ilvl="0">
      <w:numFmt w:val="bullet"/>
      <w:lvlText w:val="-"/>
      <w:lvlJc w:val="left"/>
      <w:pPr>
        <w:ind w:left="1297" w:hanging="360"/>
      </w:pPr>
      <w:rPr>
        <w:rFonts w:ascii="Calibri Light" w:eastAsia="Times New Roman" w:hAnsi="Calibri Light" w:cs="Times New Roman"/>
        <w:b w:val="0"/>
        <w:spacing w:val="-1"/>
        <w:w w:val="102"/>
        <w:sz w:val="16"/>
        <w:szCs w:val="16"/>
        <w:lang w:val="es-ES" w:eastAsia="en-US" w:bidi="ar-SA"/>
      </w:rPr>
    </w:lvl>
    <w:lvl w:ilvl="1">
      <w:numFmt w:val="bullet"/>
      <w:lvlText w:val="o"/>
      <w:lvlJc w:val="left"/>
      <w:pPr>
        <w:ind w:left="2017" w:hanging="360"/>
      </w:pPr>
      <w:rPr>
        <w:rFonts w:ascii="Courier New" w:hAnsi="Courier New" w:cs="Courier New"/>
      </w:rPr>
    </w:lvl>
    <w:lvl w:ilvl="2">
      <w:numFmt w:val="bullet"/>
      <w:lvlText w:val=""/>
      <w:lvlJc w:val="left"/>
      <w:pPr>
        <w:ind w:left="2737" w:hanging="360"/>
      </w:pPr>
      <w:rPr>
        <w:rFonts w:ascii="Wingdings" w:hAnsi="Wingdings"/>
      </w:rPr>
    </w:lvl>
    <w:lvl w:ilvl="3">
      <w:numFmt w:val="bullet"/>
      <w:lvlText w:val=""/>
      <w:lvlJc w:val="left"/>
      <w:pPr>
        <w:ind w:left="3457" w:hanging="360"/>
      </w:pPr>
      <w:rPr>
        <w:rFonts w:ascii="Symbol" w:hAnsi="Symbol"/>
      </w:rPr>
    </w:lvl>
    <w:lvl w:ilvl="4">
      <w:numFmt w:val="bullet"/>
      <w:lvlText w:val="o"/>
      <w:lvlJc w:val="left"/>
      <w:pPr>
        <w:ind w:left="4177" w:hanging="360"/>
      </w:pPr>
      <w:rPr>
        <w:rFonts w:ascii="Courier New" w:hAnsi="Courier New" w:cs="Courier New"/>
      </w:rPr>
    </w:lvl>
    <w:lvl w:ilvl="5">
      <w:numFmt w:val="bullet"/>
      <w:lvlText w:val=""/>
      <w:lvlJc w:val="left"/>
      <w:pPr>
        <w:ind w:left="4897" w:hanging="360"/>
      </w:pPr>
      <w:rPr>
        <w:rFonts w:ascii="Wingdings" w:hAnsi="Wingdings"/>
      </w:rPr>
    </w:lvl>
    <w:lvl w:ilvl="6">
      <w:numFmt w:val="bullet"/>
      <w:lvlText w:val=""/>
      <w:lvlJc w:val="left"/>
      <w:pPr>
        <w:ind w:left="5617" w:hanging="360"/>
      </w:pPr>
      <w:rPr>
        <w:rFonts w:ascii="Symbol" w:hAnsi="Symbol"/>
      </w:rPr>
    </w:lvl>
    <w:lvl w:ilvl="7">
      <w:numFmt w:val="bullet"/>
      <w:lvlText w:val="o"/>
      <w:lvlJc w:val="left"/>
      <w:pPr>
        <w:ind w:left="6337" w:hanging="360"/>
      </w:pPr>
      <w:rPr>
        <w:rFonts w:ascii="Courier New" w:hAnsi="Courier New" w:cs="Courier New"/>
      </w:rPr>
    </w:lvl>
    <w:lvl w:ilvl="8">
      <w:numFmt w:val="bullet"/>
      <w:lvlText w:val=""/>
      <w:lvlJc w:val="left"/>
      <w:pPr>
        <w:ind w:left="7057" w:hanging="360"/>
      </w:pPr>
      <w:rPr>
        <w:rFonts w:ascii="Wingdings" w:hAnsi="Wingdings"/>
      </w:rPr>
    </w:lvl>
  </w:abstractNum>
  <w:abstractNum w:abstractNumId="2" w15:restartNumberingAfterBreak="0">
    <w:nsid w:val="77722FC4"/>
    <w:multiLevelType w:val="hybridMultilevel"/>
    <w:tmpl w:val="955431EA"/>
    <w:lvl w:ilvl="0" w:tplc="C6BEFB98">
      <w:numFmt w:val="bullet"/>
      <w:lvlText w:val="-"/>
      <w:lvlJc w:val="left"/>
      <w:pPr>
        <w:ind w:left="720" w:hanging="360"/>
      </w:pPr>
      <w:rPr>
        <w:rFonts w:ascii="Calibri" w:eastAsia="Calibri" w:hAnsi="Calibri" w:cs="Calibri"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num w:numId="1" w16cid:durableId="1555653375">
    <w:abstractNumId w:val="1"/>
  </w:num>
  <w:num w:numId="2" w16cid:durableId="1969627084">
    <w:abstractNumId w:val="0"/>
  </w:num>
  <w:num w:numId="3" w16cid:durableId="15543868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08"/>
  <w:autoHyphenation/>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BD9"/>
    <w:rsid w:val="002A5DE4"/>
    <w:rsid w:val="003035A7"/>
    <w:rsid w:val="004C1EFD"/>
    <w:rsid w:val="00660CC3"/>
    <w:rsid w:val="00A10726"/>
    <w:rsid w:val="00C20BD9"/>
    <w:rsid w:val="00C36414"/>
    <w:rsid w:val="00CE6077"/>
    <w:rsid w:val="00DC383F"/>
    <w:rsid w:val="00E06CEA"/>
    <w:rsid w:val="00F27AA9"/>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E6B33"/>
  <w15:docId w15:val="{045B724B-5CB7-4B6D-A10A-FC8B49C19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s-ES" w:eastAsia="en-US" w:bidi="ar-SA"/>
      </w:rPr>
    </w:rPrDefault>
    <w:pPrDefault>
      <w:pPr>
        <w:autoSpaceDN w:val="0"/>
        <w:spacing w:after="160" w:line="24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1">
    <w:name w:val="heading 1"/>
    <w:basedOn w:val="Normal"/>
    <w:next w:val="Normal"/>
    <w:uiPriority w:val="9"/>
    <w:qFormat/>
    <w:pPr>
      <w:keepNext/>
      <w:spacing w:after="0" w:line="240" w:lineRule="auto"/>
      <w:jc w:val="both"/>
      <w:outlineLvl w:val="0"/>
    </w:pPr>
    <w:rPr>
      <w:rFonts w:ascii="Trebuchet MS" w:hAnsi="Trebuchet MS"/>
      <w:color w:val="0066A1"/>
      <w:sz w:val="32"/>
      <w:lang w:eastAsia="es-ES"/>
    </w:rPr>
  </w:style>
  <w:style w:type="paragraph" w:styleId="Ttulo4">
    <w:name w:val="heading 4"/>
    <w:basedOn w:val="Normal"/>
    <w:next w:val="Normal"/>
    <w:uiPriority w:val="9"/>
    <w:semiHidden/>
    <w:unhideWhenUsed/>
    <w:qFormat/>
    <w:pPr>
      <w:keepNext/>
      <w:tabs>
        <w:tab w:val="left" w:pos="3225"/>
      </w:tabs>
      <w:spacing w:after="0" w:line="360" w:lineRule="auto"/>
      <w:ind w:left="360" w:hanging="360"/>
      <w:jc w:val="both"/>
      <w:outlineLvl w:val="3"/>
    </w:pPr>
    <w:rPr>
      <w:rFonts w:ascii="Trebuchet MS" w:hAnsi="Trebuchet MS"/>
      <w:b/>
      <w:color w:val="0066A1"/>
      <w:sz w:val="2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rPr>
      <w:rFonts w:ascii="Trebuchet MS" w:hAnsi="Trebuchet MS"/>
      <w:color w:val="0066A1"/>
      <w:sz w:val="32"/>
      <w:lang w:eastAsia="es-ES"/>
    </w:rPr>
  </w:style>
  <w:style w:type="character" w:customStyle="1" w:styleId="Ttulo4Car">
    <w:name w:val="Título 4 Car"/>
    <w:rPr>
      <w:rFonts w:ascii="Trebuchet MS" w:hAnsi="Trebuchet MS"/>
      <w:b/>
      <w:color w:val="0066A1"/>
      <w:sz w:val="28"/>
    </w:rPr>
  </w:style>
  <w:style w:type="paragraph" w:styleId="Prrafodelista">
    <w:name w:val="List Paragraph"/>
    <w:basedOn w:val="Normal"/>
    <w:pPr>
      <w:ind w:left="720"/>
      <w:contextualSpacing/>
    </w:pPr>
  </w:style>
  <w:style w:type="character" w:styleId="Hipervnculo">
    <w:name w:val="Hyperlink"/>
    <w:basedOn w:val="Fuentedeprrafopredeter"/>
    <w:rPr>
      <w:color w:val="0563C1"/>
      <w:u w:val="single"/>
    </w:rPr>
  </w:style>
  <w:style w:type="character" w:styleId="Mencinsinresolver">
    <w:name w:val="Unresolved Mention"/>
    <w:basedOn w:val="Fuentedeprrafopredeter"/>
    <w:rPr>
      <w:color w:val="605E5C"/>
      <w:shd w:val="clear" w:color="auto" w:fill="E1DFDD"/>
    </w:rPr>
  </w:style>
  <w:style w:type="character" w:styleId="Hipervnculovisitado">
    <w:name w:val="FollowedHyperlink"/>
    <w:basedOn w:val="Fuentedeprrafopredeter"/>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sites/default/files/ArchivosULPGC/claustro/2022/acta_claustro_no_129_19_de_julio_2022.pdf" TargetMode="External"/><Relationship Id="rId13" Type="http://schemas.openxmlformats.org/officeDocument/2006/relationships/hyperlink" Target="/sites/default/files/ArchivosULPGC/claustro/2022/acta_claustro_no_127_27_de_abril_2022.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ulpgc.es/sites/default/files/ArchivosULPGC/boulpgc/BOULPGC/boulpgc_9_mayo_2022.pdf" TargetMode="External"/><Relationship Id="rId17" Type="http://schemas.openxmlformats.org/officeDocument/2006/relationships/hyperlink" Target="https://www.ulpgc.es/sites/default/files/ArchivosULPGC/boulpgc/BOULPGC/boulpgc_9_mayo_2022.pdf" TargetMode="External"/><Relationship Id="rId2" Type="http://schemas.openxmlformats.org/officeDocument/2006/relationships/styles" Target="styles.xml"/><Relationship Id="rId16" Type="http://schemas.openxmlformats.org/officeDocument/2006/relationships/hyperlink" Target="https://www.ulpgc.es/sites/default/files/ArchivosULPGC/boulpgc/BOULPGC/boulpgc_9_mayo_2022.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lpgc.es/sites/default/files/ArchivosULPGC/boulpgc/BOULPGC/boulpgc_6_junio_2022.pdf" TargetMode="External"/><Relationship Id="rId5" Type="http://schemas.openxmlformats.org/officeDocument/2006/relationships/footnotes" Target="footnotes.xml"/><Relationship Id="rId15" Type="http://schemas.openxmlformats.org/officeDocument/2006/relationships/hyperlink" Target="https://www.ulpgc.es/sites/default/files/ArchivosULPGC/boulpgc/BOULPGC/boulpgc_9_mayo_2022.pdf" TargetMode="External"/><Relationship Id="rId10" Type="http://schemas.openxmlformats.org/officeDocument/2006/relationships/hyperlink" Target="/sites/default/files/ArchivosULPGC/claustro/2022/acta_claustro_no_128_23_de_mayo_2022.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ulpgc.es/sites/default/files/ArchivosULPGC/boulpgc/BOULPGC/boulpgc_6_junio_2022.pdf" TargetMode="External"/><Relationship Id="rId14" Type="http://schemas.openxmlformats.org/officeDocument/2006/relationships/hyperlink" Target="https://www.ulpgc.es/sites/default/files/ArchivosULPGC/boulpgc/BOULPGC/boulpgc_9_mayo_202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519</Words>
  <Characters>2205</Characters>
  <Application>Microsoft Office Word</Application>
  <DocSecurity>0</DocSecurity>
  <Lines>81</Lines>
  <Paragraphs>28</Paragraphs>
  <ScaleCrop>false</ScaleCrop>
  <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Teresa Morant De Diego</dc:creator>
  <dc:description/>
  <cp:lastModifiedBy>María Teresa Morant De Diego</cp:lastModifiedBy>
  <cp:revision>2</cp:revision>
  <dcterms:created xsi:type="dcterms:W3CDTF">2024-02-19T11:34:00Z</dcterms:created>
  <dcterms:modified xsi:type="dcterms:W3CDTF">2024-02-19T11:34:00Z</dcterms:modified>
</cp:coreProperties>
</file>